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5_edei--DocumentType_c2026070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875"/>
        <w:gridCol w:w="60"/>
        <w:gridCol w:w="1205"/>
      </w:tblGrid>
      <w:tr>
        <w:trPr/>
        <w:tc>
          <w:tcPr>
            <w:tcW w:w="387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Date of Report (Date of earliest event reported):</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rFonts w:ascii="Times New Roman;Times;Serif" w:hAnsi="Times New Roman;Times;Serif"/>
              </w:rPr>
            </w:pPr>
            <w:bookmarkStart w:id="3" w:name="xdx_905_edei--DocumentPeriodEndDate_c202"/>
            <w:bookmarkEnd w:id="3"/>
            <w:r>
              <w:rPr>
                <w:rFonts w:ascii="Times New Roman;Times;Serif" w:hAnsi="Times New Roman;Times;Serif"/>
              </w:rPr>
              <w:t>July 8,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F_edei--EntityRegistrantName_c2026"/>
      <w:bookmarkEnd w:id="4"/>
      <w:r>
        <w:rPr>
          <w:rFonts w:ascii="Times New Roman;Times;Serif" w:hAnsi="Times New Roman;Times;Serif"/>
          <w:b/>
          <w:i w:val="false"/>
          <w:caps w:val="false"/>
          <w:smallCaps w:val="false"/>
          <w:sz w:val="36"/>
        </w:rPr>
        <w:t>ZYVERSA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708"/>
            <w:bookmarkEnd w:id="6"/>
            <w:r>
              <w:rPr>
                <w:rFonts w:ascii="Times New Roman;Times;Serif" w:hAnsi="Times New Roman;Times;Serif"/>
                <w:b/>
                <w:i w:val="false"/>
                <w:caps w:val="false"/>
                <w:smallCaps w:val="false"/>
                <w:sz w:val="20"/>
              </w:rPr>
              <w:t>001-41184</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86-2685744</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1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3215"/>
        <w:gridCol w:w="60"/>
        <w:gridCol w:w="920"/>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 xml:space="preserve">2436 N Federal Hwy, </w:t>
            </w:r>
            <w:bookmarkStart w:id="9" w:name="xdx_902_edei--EntityAddressAddressLine2_"/>
            <w:bookmarkEnd w:id="9"/>
            <w:r>
              <w:rPr>
                <w:rFonts w:ascii="Times New Roman;Times;Serif" w:hAnsi="Times New Roman;Times;Serif"/>
                <w:b/>
                <w:i w:val="false"/>
                <w:caps w:val="false"/>
                <w:smallCaps w:val="false"/>
                <w:sz w:val="20"/>
              </w:rPr>
              <w:t>Suite 466</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Lighthouse Point, </w:t>
            </w:r>
            <w:bookmarkStart w:id="11" w:name="xdx_902_edei--EntityAddressStateOrProvin"/>
            <w:bookmarkEnd w:id="11"/>
            <w:r>
              <w:rPr>
                <w:rFonts w:ascii="Times New Roman;Times;Serif" w:hAnsi="Times New Roman;Times;Serif"/>
                <w:b/>
                <w:i w:val="false"/>
                <w:caps w:val="false"/>
                <w:smallCaps w:val="false"/>
                <w:sz w:val="20"/>
              </w:rPr>
              <w:t>Florida</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9_edei--EntityAddressPostalZipCode"/>
            <w:bookmarkEnd w:id="12"/>
            <w:r>
              <w:rPr>
                <w:rFonts w:ascii="Times New Roman;Times;Serif" w:hAnsi="Times New Roman;Times;Serif"/>
                <w:b/>
                <w:i w:val="false"/>
                <w:caps w:val="false"/>
                <w:smallCaps w:val="false"/>
                <w:sz w:val="20"/>
              </w:rPr>
              <w:t>33064</w:t>
            </w:r>
          </w:p>
        </w:tc>
      </w:tr>
      <w:tr>
        <w:trPr/>
        <w:tc>
          <w:tcPr>
            <w:tcW w:w="32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5860" w:type="dxa"/>
        <w:jc w:val="left"/>
        <w:tblInd w:w="0" w:type="dxa"/>
        <w:tblLayout w:type="fixed"/>
        <w:tblCellMar>
          <w:top w:w="0" w:type="dxa"/>
          <w:left w:w="0" w:type="dxa"/>
          <w:bottom w:w="0" w:type="dxa"/>
          <w:right w:w="0" w:type="dxa"/>
        </w:tblCellMar>
      </w:tblPr>
      <w:tblGrid>
        <w:gridCol w:w="4280"/>
        <w:gridCol w:w="60"/>
        <w:gridCol w:w="1520"/>
      </w:tblGrid>
      <w:tr>
        <w:trPr/>
        <w:tc>
          <w:tcPr>
            <w:tcW w:w="42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Registrant’s telephone number, including area code:</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left"/>
              <w:rPr>
                <w:rFonts w:ascii="Times New Roman;Times;Serif" w:hAnsi="Times New Roman;Times;Serif"/>
                <w:b/>
              </w:rPr>
            </w:pPr>
            <w:bookmarkStart w:id="13" w:name="xdx_906_edei--CityAreaCode_c20260708__20"/>
            <w:bookmarkEnd w:id="13"/>
            <w:r>
              <w:rPr>
                <w:rFonts w:ascii="Times New Roman;Times;Serif" w:hAnsi="Times New Roman;Times;Serif"/>
                <w:b/>
              </w:rPr>
              <w:t xml:space="preserve">(754) </w:t>
            </w:r>
            <w:bookmarkStart w:id="14" w:name="xdx_909_edei--LocalPhoneNumber_c20260708"/>
            <w:bookmarkEnd w:id="14"/>
            <w:r>
              <w:rPr>
                <w:rFonts w:ascii="Times New Roman;Times;Serif" w:hAnsi="Times New Roman;Times;Serif"/>
                <w:b/>
              </w:rPr>
              <w:t>231-1688</w:t>
            </w:r>
          </w:p>
        </w:tc>
      </w:tr>
    </w:tbl>
    <w:p>
      <w:pPr>
        <w:pStyle w:val="TextBody"/>
        <w:bidi w:val="0"/>
        <w:spacing w:before="0" w:after="0"/>
        <w:ind w:left="0" w:right="0" w:hanging="0"/>
        <w:jc w:val="left"/>
        <w:rPr>
          <w:caps w:val="false"/>
          <w:smallCaps w:val="false"/>
        </w:rPr>
      </w:pPr>
      <w:r>
        <w:rPr>
          <w:caps w:val="false"/>
          <w:smallCaps w:val="false"/>
        </w:rPr>
        <w:t> </w:t>
      </w:r>
    </w:p>
    <w:tbl>
      <w:tblPr>
        <w:tblW w:w="5075" w:type="dxa"/>
        <w:jc w:val="left"/>
        <w:tblInd w:w="0" w:type="dxa"/>
        <w:tblLayout w:type="fixed"/>
        <w:tblCellMar>
          <w:top w:w="0" w:type="dxa"/>
          <w:left w:w="0" w:type="dxa"/>
          <w:bottom w:w="0" w:type="dxa"/>
          <w:right w:w="0" w:type="dxa"/>
        </w:tblCellMar>
      </w:tblPr>
      <w:tblGrid>
        <w:gridCol w:w="75"/>
        <w:gridCol w:w="4925"/>
        <w:gridCol w:w="7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D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A_edei--SolicitingMaterial_c202607"/>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5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F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0" w:type="dxa"/>
        <w:tblLayout w:type="fixed"/>
        <w:tblCellMar>
          <w:top w:w="0" w:type="dxa"/>
          <w:left w:w="0" w:type="dxa"/>
          <w:bottom w:w="28" w:type="dxa"/>
          <w:right w:w="0" w:type="dxa"/>
        </w:tblCellMar>
      </w:tblPr>
      <w:tblGrid>
        <w:gridCol w:w="3620"/>
        <w:gridCol w:w="60"/>
        <w:gridCol w:w="1385"/>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C_edei--Security12bTitle_c20260708"/>
            <w:bookmarkEnd w:id="19"/>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8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2_edei--TradingSymbol_c20260708__2"/>
            <w:bookmarkEnd w:id="20"/>
            <w:r>
              <w:rPr>
                <w:rFonts w:ascii="Times New Roman;Times;Serif" w:hAnsi="Times New Roman;Times;Serif"/>
                <w:b w:val="false"/>
                <w:i w:val="false"/>
                <w:caps w:val="false"/>
                <w:smallCaps w:val="false"/>
                <w:sz w:val="20"/>
              </w:rPr>
              <w:t>ZVSA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D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The Company’s </w:t>
      </w:r>
      <w:r>
        <w:rPr>
          <w:rFonts w:ascii="Times New Roman;Times;Serif" w:hAnsi="Times New Roman;Times;Serif"/>
          <w:b w:val="false"/>
          <w:i w:val="false"/>
          <w:caps w:val="false"/>
          <w:smallCaps w:val="false"/>
          <w:sz w:val="20"/>
          <w:shd w:fill="FFFFFF" w:val="clear"/>
        </w:rPr>
        <w:t>common stock is quoted on the OTCQB® Venture Market under the symbol “ZVSA.”</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Departure of Min Chul Park, Ph.D.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8, 2026, Min Chul Park, Ph.D., notified the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of ZyVersa Therapeutics,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of his intention to resign from his Board positions as an independent director, member of the Compensation Committee of the Board, and member of the Nominating and Corporate Governance Committee of the Board. Dr. Park’s resignation has been accepted by the Board, effective immediately. Dr. Park’s resignation was due to personal reasons and not a result of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and management of the Company have commenced, and are continuing to explore, certain cost-cutting measures to maximize the Company’s available resources while it seeks to raise capital. For example, Stephen Glover and Peter Wolfe, the Company’s Chief Executive Officer and Chief Financial Officer, respectively, each voluntarily agreed to accept reduced compensation to support the Company during a period of limited cash resources and to provide the Company with greater balance sheet flexibility.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measures being considered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Divesting or selling the Company’s VAR 200 or IC 100 product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employee headcount to focus on core services and support, with corresponding reduced costs.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ways to decrease public company expenses, including possibly “going dark” by suspending its obligations to file its current and periodic reports required by Sections 13(a) and 15(d) of the Securities Exchange Act of 1934, as amended, pursuant to Rule 12h-3 promulgated thereunder.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continue to consider other ways to maximize shareholder value, including, but not limited to sale of the Company or its assets, or restructuring or reorganization, among other alternatives.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that any savings generated from such cost-reduction activities as are ultimately adopted, along with any capital raise, may enable the Company to continue operations while the Company continues to seek new sources of financing to stabilize its finances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w:t>
      </w:r>
      <w:r>
        <w:rPr>
          <w:rFonts w:ascii="Times New Roman;Times;Serif" w:hAnsi="Times New Roman;Times;Serif"/>
          <w:b w:val="false"/>
          <w:i w:val="false"/>
          <w:caps w:val="false"/>
          <w:smallCaps w:val="false"/>
          <w:sz w:val="20"/>
          <w:u w:val="single"/>
        </w:rPr>
        <w:t>Form 8-K</w:t>
      </w:r>
      <w:r>
        <w:rPr>
          <w:rFonts w:ascii="Times New Roman;Times;Serif" w:hAnsi="Times New Roman;Times;Serif"/>
          <w:b w:val="false"/>
          <w:i w:val="false"/>
          <w:caps w:val="false"/>
          <w:smallCaps w:val="false"/>
          <w:sz w:val="20"/>
        </w:rPr>
        <w:t>”) contains forward-looking statements within the meaning of the Private Securities Litigation Reform Act of 1995. All statements contained in this Form 8-K that do not relate to matters of historical fact should be considered forward-looking statements, including, but not limited to, statements regarding the Company’s common cost-cutting measures. Actual results and the timing of events could differ materially from those anticipated in such forward-looking statements as a result of risks, uncertainties and other important factors, including those factors discussed under the caption “Risk Factors” in the Company’s Annual Report on Form 10-K for the year ended December 31, 2025, as updated by the Company’s Quarterly Report on Form 10-Q for the quarter ended March 30, 2026, in each case as filed with the SEC, could cause actual results to differ materially from those indicated by the forward-looking statements made in this Form 8-K. Any forward-looking statements speak only as of the date of this Form 8-K and are based on information available to the Company as of the date of this Form 8-K, and the Company assumes no obligation to, and does not intend to, update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480" w:type="dxa"/>
        <w:jc w:val="left"/>
        <w:tblInd w:w="0" w:type="dxa"/>
        <w:tblLayout w:type="fixed"/>
        <w:tblCellMar>
          <w:top w:w="0" w:type="dxa"/>
          <w:left w:w="0" w:type="dxa"/>
          <w:bottom w:w="0" w:type="dxa"/>
          <w:right w:w="0" w:type="dxa"/>
        </w:tblCellMar>
      </w:tblPr>
      <w:tblGrid>
        <w:gridCol w:w="1625"/>
        <w:gridCol w:w="2855"/>
      </w:tblGrid>
      <w:tr>
        <w:trPr/>
        <w:tc>
          <w:tcPr>
            <w:tcW w:w="16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Glover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Glover</w:t>
            </w:r>
          </w:p>
        </w:tc>
      </w:tr>
      <w:tr>
        <w:trPr/>
        <w:tc>
          <w:tcPr>
            <w:tcW w:w="1625" w:type="dxa"/>
            <w:tcBorders/>
            <w:vAlign w:val="center"/>
          </w:tcPr>
          <w:p>
            <w:pPr>
              <w:pStyle w:val="TableContents"/>
              <w:bidi w:val="0"/>
              <w:spacing w:before="0" w:after="283"/>
              <w:jc w:val="left"/>
              <w:rPr>
                <w:caps w:val="false"/>
                <w:smallCaps w:val="false"/>
              </w:rPr>
            </w:pPr>
            <w:r>
              <w:rPr>
                <w:caps w:val="false"/>
                <w:smallCaps w:val="false"/>
              </w:rPr>
              <w:t> </w:t>
            </w:r>
          </w:p>
        </w:tc>
        <w:tc>
          <w:tcPr>
            <w:tcW w:w="28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926</Words>
  <Characters>5145</Characters>
  <CharactersWithSpaces>6073</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