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060"/>
        <w:spacing w:after="0"/>
        <w:tabs>
          <w:tab w:leader="none" w:pos="57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February 27,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001-41184</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2436 N Federal Hwy, Suite 466</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Lighthouse Point, Florida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33064</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2" w:lineRule="exact"/>
        <w:rPr>
          <w:sz w:val="24"/>
          <w:szCs w:val="24"/>
          <w:color w:val="auto"/>
        </w:rPr>
      </w:pPr>
    </w:p>
    <w:p>
      <w:pPr>
        <w:ind w:left="1780"/>
        <w:spacing w:after="0"/>
        <w:tabs>
          <w:tab w:leader="none" w:pos="572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17"/>
          <w:szCs w:val="17"/>
          <w:b w:val="1"/>
          <w:bCs w:val="1"/>
          <w:color w:val="auto"/>
        </w:rPr>
        <w:t>(754) 231-1688</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4414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The Company’s common stock is quoted on the OTCQB® Venture Market under the symbol “ZVSA.”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2026, ZyVersa Therapeutics, Inc., a Delaware corporation (the “Company”), entered into a Securities Purchase Agreement (the “Securities Purchase Agreement”) with certain accredited investors (the “Purchasers”), pursuant to which the Company issued and sold to the Purchasers convertible promissory notes in an aggregate principal amount of $1 million (the “Notes”) and Series A-4 Common Stock Purchase Warrants (the “Warrants”) to purchase shares of the Company’s common stock, par value $0.0001 per share (the “Common Stock”). The closing of the private placement occurred on February 27,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bear interest at a rate of 10% per annum (compounded annually), with interest accruing on the unpaid principal amount and payable on the maturity date. The Notes mature on the date that is twelve months from the date of issuance. The Notes are convertible into shares of Common Stock at a conversion price equal to (i) 80% of the price per share paid in a Qualified Offering, upon its occurrence (as defined in the Notes), or (ii) 80% of the lowest daily volume-weighted average price of the Common Stock during the 10 trading days prior to delivery of a conversion notice that occurs following the earlier of (x) six months after the issuance date or (y) an Event of Default (as defined in the Notes). This share price is subject to a floor price of $0.02 per share.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are exercisable beginning on the six-month anniversary of their issuance (the “Initial Exercise Date”), and expire on the five-year anniversary of the issuance date. The exercise price of the Warrants is equal to (i) 110% of the price per share paid in a Qualified Offering that occurs by the Initial Exercise Date, or (ii) 110% of the volume-weighted average price for the five-trading-day period beginning on the 181st day and ending on the 185th day after the issuance date if a Qualified Offering has not occurred by the Initial Exercise Date. The number of shares of Common Stock issuable upon exercise of each Warrant is calculated by dividing 50% of the applicable Purchaser’s subscription amount by the exercise price. The Warrants contain standard anti-dilution adjustments, including adjustments for stock dividends, stock splits, and certain fundamental transactions.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covenants of the Company and the Purchasers. The Company has agreed to certain covenants, including (i) within six months of the issuance date, filing a resale registration statement covering the shares of Common Stock issuable upon conversion of the Notes, (ii) within 30 days of the Initial Exercise Date, filing a resale registration statement covering the shares of Common Stock issuable upon Warrant exercise, (iii) restrictions on redemption of, or payment of dividends on, the Company’s securities while the Notes or Warrants are outstanding, and (iv) restrictions on variable rate transactions while the Notes are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Company under the Notes are guaranteed by ZyVersa Therapeutics Operating, Inc., a wholly owned subsidiary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were offered and sold pursuant to an exemption from the registration requirements of Section 5 of the Securities Act of 1933, as amended (the “Securities Act”), contained in Section 4(a)(2) thereof and Regulation D thereunder. Each Purchaser represented to the Company that it is an “accredited investor” as defined in Rule 501 of Regulation D under the Securities Act. The Company did not engage in general solicitation or general advertising in connection with the offering. The Company intends to use the net proceeds from this offering for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the Notes, and the Warrants do not purport to be complete and are qualified in their entirety by reference to the full text of such documents, copies of which are attached hereto as Exhibits 10.1, 10.2, and 4.1,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4"/>
                <w:szCs w:val="14"/>
                <w:color w:val="auto"/>
              </w:rPr>
            </w:pPr>
          </w:p>
        </w:tc>
        <w:tc>
          <w:tcPr>
            <w:tcW w:w="1014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Form of Series A-4 Common Stock Purchase Warrant.</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Securities Purchase Agreement, dated February 26,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Convertible Promissory Note.</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similar attachments) to this exhibit have been omitted from this filing pursuant to Item 601(b)(10) of Regulation S-K. The Company agrees to furnish a supplemental copy of any omitted schedule (or similar attachment)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ZYVERSA THERAPEUTICS,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Stephen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Glover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7"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i w:val="1"/>
          <w:iCs w:val="1"/>
          <w:color w:val="auto"/>
        </w:rPr>
        <w:t>EXECUTION VERSION</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A-4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No.: BN2026[●]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Issue Date: February [●],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August [●], 2026</w:t>
      </w:r>
    </w:p>
    <w:p>
      <w:pPr>
        <w:spacing w:after="0" w:line="200" w:lineRule="exact"/>
        <w:rPr>
          <w:sz w:val="20"/>
          <w:szCs w:val="20"/>
          <w:color w:val="auto"/>
        </w:rPr>
      </w:pPr>
    </w:p>
    <w:p>
      <w:pPr>
        <w:sectPr>
          <w:pgSz w:w="11900" w:h="16838" w:orient="portrait"/>
          <w:cols w:equalWidth="0" w:num="2">
            <w:col w:w="7700" w:space="720"/>
            <w:col w:w="2820"/>
          </w:cols>
          <w:pgMar w:left="320" w:top="333"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SERIES A-4 COMMON STOCK PURCHASE WARRANT (the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certifies that, for value received, _______ or its assigns (the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is entitled, upon the terms and subject to the limitations on exercise and the conditions hereinafter set forth, at any time or times on or after the Initial Exercise Date and on or prior to 5:00 p.m. (New York City time) on the five-year anniversary of the Issue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ZyVersa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up to the amount of shares of Common Stock, par value $0.0001 per share (as subject to adjustment hereunder,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The purchase price of one share of Common Stock under this Warrant shall be equal to the Exercise Price, as defined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This Warrant is being issued pursuant to the terms of that certain Securities Purchase Agreement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dated as of February [ ● ], 2026, by and among the Company and the Holder, pursuant to which, among other things, the Company is also issuing to the Holder a Convertible Note in the original principal amount of $[●]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which Note is issued by the Company pursuant to the Securities Purchase Agreement to the Holder.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terms defined elsewhere in this Warrant, the following terms have the meanings indicated in this Section 1.</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this Warrant and the other warrants issued by the Company pursuant to the Securities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Exercise</w:t>
      </w:r>
    </w:p>
    <w:p>
      <w:pPr>
        <w:spacing w:after="0" w:line="229" w:lineRule="exact"/>
        <w:rPr>
          <w:sz w:val="20"/>
          <w:szCs w:val="20"/>
          <w:color w:val="auto"/>
        </w:rPr>
      </w:pPr>
    </w:p>
    <w:p>
      <w:pPr>
        <w:jc w:val="both"/>
        <w:ind w:firstLine="656"/>
        <w:spacing w:after="0" w:line="257" w:lineRule="auto"/>
        <w:tabs>
          <w:tab w:leader="none" w:pos="8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Within the earlier of (i) one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 and (ii) the number of Trading Days comprising the Standard Settlement Period (as defined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at which time,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purchasable hereunder shall have the effect of lowering the outstanding number of Warrant Shares purchasable hereunder by the number of Warrant Shares equal to the applicable number of Warrant Shares purchased in connection with such partial exercise. </w:t>
      </w:r>
      <w:r>
        <w:rPr>
          <w:rFonts w:ascii="Times New Roman" w:cs="Times New Roman" w:eastAsia="Times New Roman" w:hAnsi="Times New Roman"/>
          <w:sz w:val="18"/>
          <w:szCs w:val="18"/>
          <w:b w:val="1"/>
          <w:bCs w:val="1"/>
          <w:color w:val="auto"/>
        </w:rPr>
        <w:t>The Holder and the Company shall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records showing the number of Warrant Shares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Subject to the terms and conditions set forth herein, the aggregate number of Warrant Shares that Holder shall have the right to purchase from the Company hereunder shall be a number of Warrant Shares equal to the quotient obtained by dividing (i)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by (ii) the Exercise Price.</w:t>
      </w:r>
    </w:p>
    <w:p>
      <w:pPr>
        <w:spacing w:after="0" w:line="201" w:lineRule="exact"/>
        <w:rPr>
          <w:sz w:val="20"/>
          <w:szCs w:val="20"/>
          <w:color w:val="auto"/>
        </w:rPr>
      </w:pPr>
    </w:p>
    <w:p>
      <w:pPr>
        <w:jc w:val="both"/>
        <w:ind w:firstLine="656"/>
        <w:spacing w:after="0" w:line="258"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either (i) if a Qualified Offering (as defined herein) has occurred by the Initial Exercise Date, 110% of the price per share paid in an equity financing pursuant to which the Company receives at least $15,000,000 in net proceeds from the sale of shares of its Common Stock or securities convertible into Common Stock (a “</w:t>
      </w:r>
      <w:r>
        <w:rPr>
          <w:rFonts w:ascii="Times New Roman" w:cs="Times New Roman" w:eastAsia="Times New Roman" w:hAnsi="Times New Roman"/>
          <w:sz w:val="18"/>
          <w:szCs w:val="18"/>
          <w:b w:val="1"/>
          <w:bCs w:val="1"/>
          <w:color w:val="auto"/>
        </w:rPr>
        <w:t>Qualified Offering</w:t>
      </w:r>
      <w:r>
        <w:rPr>
          <w:rFonts w:ascii="Times New Roman" w:cs="Times New Roman" w:eastAsia="Times New Roman" w:hAnsi="Times New Roman"/>
          <w:sz w:val="18"/>
          <w:szCs w:val="18"/>
          <w:color w:val="auto"/>
        </w:rPr>
        <w:t>”) or (ii) if a Qualified Offering has not occurred by the Initial Exercise Date, the price shall be 110% of the volume-weighted average price for the five-trading-day period beginning on the 181st day and ending on the 185th day after the Issue Date, subject to adjustment hereunder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to the contrary set forth herein,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jc w:val="both"/>
        <w:ind w:firstLine="656"/>
        <w:spacing w:after="0" w:line="254" w:lineRule="auto"/>
        <w:tabs>
          <w:tab w:leader="none" w:pos="9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as applicable: (i) the VWAP on the Trading Day immediately preceding the date of the applicable Notice of Exercise if such Notice of Exercise is (1)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day that is not a Trading Day or (2)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xml:space="preserve">”)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or (iii) the VWAP on the date of the applicable Notice of Exercise if the date of such Notice of Exercise is a Trading Day and such Notice of Exercise is both executed and delivered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18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right="20" w:firstLine="656"/>
        <w:spacing w:after="0" w:line="282" w:lineRule="auto"/>
        <w:tabs>
          <w:tab w:leader="none" w:pos="9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Warrant Shares are issued in such a cashless exercise, the parties acknowledge and agree that in accordance with Section 3(a)(9) of the Securities Act, the Warrant Shares shall take on the characteristics of the Warrant being exercised, and the holding period of the Warrant Shares being issued may be tacked on to the holding period of this Warrant. The Company agrees not to take any position contrary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w:t>
      </w:r>
    </w:p>
    <w:p>
      <w:pPr>
        <w:spacing w:after="0" w:line="1" w:lineRule="exact"/>
        <w:rPr>
          <w:sz w:val="20"/>
          <w:szCs w:val="20"/>
          <w:color w:val="auto"/>
        </w:rPr>
      </w:pPr>
    </w:p>
    <w:p>
      <w:pPr>
        <w:jc w:val="both"/>
        <w:ind w:firstLine="8"/>
        <w:spacing w:after="0" w:line="252" w:lineRule="auto"/>
        <w:tabs>
          <w:tab w:leader="none" w:pos="2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OTCQB or OTCQX is not a Trading Market, the VWAP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5580" w:right="5400" w:hanging="5572"/>
        <w:spacing w:after="0" w:line="372" w:lineRule="auto"/>
        <w:tabs>
          <w:tab w:leader="none" w:pos="129"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one half of the investment amount in the Securities Purchase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2"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4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 and otherwise by physical delivery of the Warrant Shares, registered in the Company’s share register in the name of the Holder or its designee, for the number of Warrant Shares set forth in the Notice of Exercise to the address specified by the Holder in such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b w:val="1"/>
          <w:bCs w:val="1"/>
          <w:color w:val="auto"/>
        </w:rPr>
        <w:t>Warrant Share Delivery Date</w:t>
      </w:r>
      <w:r>
        <w:rPr>
          <w:rFonts w:ascii="Times New Roman" w:cs="Times New Roman" w:eastAsia="Times New Roman" w:hAnsi="Times New Roman"/>
          <w:sz w:val="18"/>
          <w:szCs w:val="18"/>
          <w:color w:val="auto"/>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that is a participant in the FAST program so long as this Warrant remains outstanding and exercisable. As used herein, “</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xml:space="preserve">” means the standard settlement period, expressed in a number of Trading Days, on the Company’s primary Trading Market with respect to the Common Stock as in effect on the date of delivery of the Notice of Exercise.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will be less than the amount stated on the face hereof.</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xml:space="preserve">. If the Company fails to cause the Transfer Agent to transmit to the Holder the Warrant Shares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2(d)(i)</w:t>
      </w:r>
      <w:r>
        <w:rPr>
          <w:rFonts w:ascii="Times New Roman" w:cs="Times New Roman" w:eastAsia="Times New Roman" w:hAnsi="Times New Roman"/>
          <w:sz w:val="18"/>
          <w:szCs w:val="18"/>
          <w:color w:val="auto"/>
        </w:rPr>
        <w:t xml:space="preserve"> by the Warrant Share Delivery Date, then the Holder will have the right to rescind such exercise.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firstLine="1304"/>
        <w:spacing w:after="0" w:line="252" w:lineRule="auto"/>
        <w:tabs>
          <w:tab w:leader="none" w:pos="15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xml:space="preserve">. In addition to any other rights available to the Holder, if the Company fails to cause the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Warrant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scrip representing fractional Warrant Shares shall be issued upon the exercise of this Warrant. As to any fraction of a share which the Holder would otherwise be entitled to purchase upon such exercise, the Company shall, at its election and in lieu of the issuance of such fractional Warrant Share, either (i) pay cash in an amount equal to such fraction multiplied by the Exercise Price or (ii) round up to the next whole Warrant Share.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the Notice of Exercise shall be accompanied by the Assignment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duly executed by the Holder and the Company may require, as a condition thereto, the payment of a sum sufficient to reimburse it for any transfer tax incidental thereto and this Warrant shall be surrendered to the Company and, if any portion of this Warrant remains unexercised, a new Warrant in the form hereof shall be delivered to the assignee.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firstLine="656"/>
        <w:spacing w:after="0" w:line="266" w:lineRule="auto"/>
        <w:tabs>
          <w:tab w:leader="none" w:pos="87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xml:space="preserve">. The Company shall not effect any exercise of this Warrant, and a Holder shall not have the right to exercise all or any portion of this Warrant,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or otherwise, to the extent that after giving effect to such issuance upon exercise as set forth on the applicable Notice of Exercise, the Holder (together with (i) the Holder’s Affiliates, (ii) any other Persons acting as a group together with the Holder or any of the Holder’s Affiliates, and (iii) any other Persons whose beneficial ownership of the shares of Common Stock would or could be aggregated with the Holder’s for the purposes of Section 13(d) (such Persons, “</w:t>
      </w:r>
      <w:r>
        <w:rPr>
          <w:rFonts w:ascii="Times New Roman" w:cs="Times New Roman" w:eastAsia="Times New Roman" w:hAnsi="Times New Roman"/>
          <w:sz w:val="17"/>
          <w:szCs w:val="17"/>
          <w:b w:val="1"/>
          <w:bCs w:val="1"/>
          <w:color w:val="auto"/>
        </w:rPr>
        <w:t>Attribution Parties</w:t>
      </w:r>
      <w:r>
        <w:rPr>
          <w:rFonts w:ascii="Times New Roman" w:cs="Times New Roman" w:eastAsia="Times New Roman" w:hAnsi="Times New Roman"/>
          <w:sz w:val="17"/>
          <w:szCs w:val="17"/>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the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of the number of shares of Common Stock outstanding immediately after giving effect to the issuance of Warrant Shares issuable upon exercise of this Warrant. The Holder, upon notice to the Company, may increase or decrease the Beneficial Ownership Limitation provisions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provided that</w:t>
      </w:r>
      <w:r>
        <w:rPr>
          <w:rFonts w:ascii="Times New Roman" w:cs="Times New Roman" w:eastAsia="Times New Roman" w:hAnsi="Times New Roman"/>
          <w:sz w:val="17"/>
          <w:szCs w:val="17"/>
          <w:color w:val="auto"/>
        </w:rPr>
        <w:t xml:space="preserve"> the Beneficial Ownership Limitation in no event exceeds 9.99% of the number of shares of Common Stock outstanding immediately after giving effect to the issuance of Warrant Shares upon exercise of this Warrant held by the Holder and the provisions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shall continue to apply. Any increase in the Beneficial Ownership</w:t>
      </w:r>
    </w:p>
    <w:p>
      <w:pPr>
        <w:spacing w:after="0" w:line="21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Limitation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3" w:lineRule="auto"/>
        <w:tabs>
          <w:tab w:leader="none" w:pos="9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remains unchanged. Any adjustment made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if at any time the Company grants, issues or sells any Common Stock Equivalents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656"/>
        <w:spacing w:after="0" w:line="251" w:lineRule="auto"/>
        <w:tabs>
          <w:tab w:leader="none" w:pos="9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consideration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to assume in writing all of the obligations of the Company under this Warrant and the other Transaction Documents in accordance with the provisions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56"/>
        <w:spacing w:after="0" w:line="266" w:lineRule="auto"/>
        <w:tabs>
          <w:tab w:leader="none" w:pos="8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made to the nearest cent or the nearest 1/100th of a share of Common Stock, as the case may be.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is adjusted pursuant to any provision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declares a dividend (or any other distribution in whatever form) on the shares of Common Stock, (B) the Company declares a special nonrecurring cash dividend on or a redemption of the shares of Common Stock, (C) the Company authorizes the granting to all holders of the shares of Common Stock rights or warrants to subscribe for or purchase any shares of capital stock of any class or of any rights, (D) the approval of any shareholders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the failure to deliver such notice or any defect therein or in the delivery thereof shall not affect the validity of the corporate action required to be specified in such notice, and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no notice shall be required if the information is disseminated in a press release or document filed with the Commission at least 20 calendar days prior to the applicable record or effective date hereinafter specified.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the then-current Exercise Price to any amount and for any period of time deemed appropriate by the board of directors of the Company in its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3" w:lineRule="auto"/>
        <w:tabs>
          <w:tab w:leader="none" w:pos="9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and the conditions set forth herein,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56"/>
        <w:spacing w:after="0" w:line="256"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owner hereof for the purpose of any exercise hereof or any distribution to the Holder, and for all other purposes, absent actual notice to the contrary.</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Securities Purchase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provided, however, that the Holder reserves the right to dispose of the Warrant Shares at any time in accordance with federal and state securities laws and the applicable securities laws of any jurisdiction relevant to such disposition and subject to compliance with the terms of this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61"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Without limiting any rights of a Holder to receive Warrant Shares on a “cashless exercise”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or to receive cash payments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2(d)(iv)</w:t>
      </w:r>
      <w:r>
        <w:rPr>
          <w:rFonts w:ascii="Times New Roman" w:cs="Times New Roman" w:eastAsia="Times New Roman" w:hAnsi="Times New Roman"/>
          <w:sz w:val="18"/>
          <w:szCs w:val="18"/>
          <w:color w:val="auto"/>
        </w:rPr>
        <w:t xml:space="preserve"> herein,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shares of Common Stock a sufficient number of shares to provide for the issuance of the Warrant Shares underlying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and the Warrant Shares, delivered, as provided herein without violation of any applicable law or regulation, or of any requirements of the Trading Market upon which the Common Stock may be listed. The Company covenants that all Warrant Shares underlying this Warrant,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shares of Common Stock above the amount payable therefor upon such exercise immediately prior to such increase in par value, (ii) take all such action as may be necessary or appropriate in order that the Company may validly and legally issue fully paid and nonassessable shares of Common Stock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56"/>
        <w:spacing w:after="0" w:line="282" w:lineRule="auto"/>
        <w:tabs>
          <w:tab w:leader="none" w:pos="9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Securities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if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Securities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 of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20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C. Glover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ZYVERSA THERAPEUTICS, INC.</w:t>
      </w:r>
    </w:p>
    <w:p>
      <w:pPr>
        <w:spacing w:after="0" w:line="225" w:lineRule="exact"/>
        <w:rPr>
          <w:sz w:val="20"/>
          <w:szCs w:val="20"/>
          <w:color w:val="auto"/>
        </w:rPr>
      </w:pPr>
    </w:p>
    <w:p>
      <w:pPr>
        <w:ind w:firstLine="656"/>
        <w:spacing w:after="0" w:line="282" w:lineRule="auto"/>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980" w:hanging="324"/>
        <w:spacing w:after="0" w:line="266" w:lineRule="auto"/>
        <w:tabs>
          <w:tab w:leader="none" w:pos="98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05" w:lineRule="exact"/>
        <w:rPr>
          <w:sz w:val="20"/>
          <w:szCs w:val="20"/>
          <w:color w:val="auto"/>
        </w:rPr>
      </w:pPr>
    </w:p>
    <w:p>
      <w:pPr>
        <w:ind w:right="999"/>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30480</wp:posOffset>
            </wp:positionV>
            <wp:extent cx="2134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____, 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26, 2026, between ZyVersa Therapeutics Inc., a Delaware corporation (the “Company”),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of 1933, as amended, contained in Section 4(a)(2) thereof and/or Regulation D thereunder, the Company desires to issue and sell to each Purchaser, and each Purchaser, severally and not jointly, desires to purchase from the Company, securities of the Company as more fully described in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Definitions. In addition to the terms defined elsewhere in this Agreement, for all purposes of this Agreement,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 U.S. Generally Accepted Accounting Principles.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the Convertible Promissory Notes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Shares</w:t>
      </w:r>
      <w:r>
        <w:rPr>
          <w:rFonts w:ascii="Times New Roman" w:cs="Times New Roman" w:eastAsia="Times New Roman" w:hAnsi="Times New Roman"/>
          <w:sz w:val="18"/>
          <w:szCs w:val="18"/>
          <w:color w:val="auto"/>
        </w:rPr>
        <w:t>” means the shares of Common Stock issuable upon conversion of the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Offering</w:t>
      </w:r>
      <w:r>
        <w:rPr>
          <w:rFonts w:ascii="Times New Roman" w:cs="Times New Roman" w:eastAsia="Times New Roman" w:hAnsi="Times New Roman"/>
          <w:sz w:val="18"/>
          <w:szCs w:val="18"/>
          <w:color w:val="auto"/>
        </w:rPr>
        <w:t>” means an equity financing pursuant to which the Company sells shares of Common Stock, or securities convertible into shares of Common Stock, in a net amount of at least $15 million.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Notes, Warrants and the Underlying Shares purchased pursuant to this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Notes and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OTCQB Venture Market operated by the OTC Markets Group,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Notes, the Guaranties,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Notes Shares and the Warrant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“Warrant Exercise Date” means the earlier to occur of (i) a Qualified Offering and (ii) the six-month anniversary of the issuance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Issuance Date</w:t>
      </w:r>
      <w:r>
        <w:rPr>
          <w:rFonts w:ascii="Times New Roman" w:cs="Times New Roman" w:eastAsia="Times New Roman" w:hAnsi="Times New Roman"/>
          <w:sz w:val="18"/>
          <w:szCs w:val="18"/>
          <w:color w:val="auto"/>
        </w:rPr>
        <w:t>” means the Closing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Series A-4 Common Warrants, in the form of Exhibit 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 of Notes</w:t>
      </w:r>
      <w:r>
        <w:rPr>
          <w:rFonts w:ascii="Times New Roman" w:cs="Times New Roman" w:eastAsia="Times New Roman" w:hAnsi="Times New Roman"/>
          <w:sz w:val="18"/>
          <w:szCs w:val="18"/>
          <w:color w:val="auto"/>
        </w:rPr>
        <w:t>. The Company shall issue and sell to each Purchaser, and each Purchaser severally, but not jointly, agrees to purchase from the Company on the Closing Date a Note in the original principal amount as set forth opposite such Purchaser’s name in column (3) on the Schedule of Purchasers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shall take place electronically.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date hereof, or such other time as agreed to by the parties.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to be paid by each Purchaser for the Notes in the Closing shall be the amount set forth on the signature page hereto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each Purchaser shall pay its respective Purchase Price to the Company for the Note to be issued and sold to such Purchaser at the Closing by wire transfer of immediately available funds. On the Closing Date, the Company shall deliver to each Purchaser a Note in the aggregate original principal amount of the Purchase Price, with such Notes duly executed by the Company and registered in the name of such Purchaser or its designee, against payment of the respective Purchase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Within three (3) Business Days of the Warrant Issuance Date, the Company shall issue to each Purchaser a Warrant,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Warrants will have an exercise price and provide for a number of Warrant Shares provided for in each Warrant.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 xml:space="preserve">. The Company shall deliver to each Purchaser a guaranty executed by each Subsidiary of the Company,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 pursuant to which each of them guarantees the obligations of the Company under the Transaction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Other Closing Deliverables. The Company shall deliver to each Purchaser the following:</w:t>
      </w:r>
    </w:p>
    <w:p>
      <w:pPr>
        <w:spacing w:after="0" w:line="225" w:lineRule="exact"/>
        <w:rPr>
          <w:sz w:val="20"/>
          <w:szCs w:val="20"/>
          <w:color w:val="auto"/>
        </w:rPr>
      </w:pPr>
    </w:p>
    <w:p>
      <w:pPr>
        <w:ind w:firstLine="65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irrevocable transfer agent instructions, in the form acceptable to the Purchasers, which instructions shall have been delivered to and acknowledged in writing by the Company’s transfer agent;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evidencing the formation and good standing of the Company and each of its Subsidiaries in each such entity’s jurisdiction of formation issued by the Secretary of State (or comparable office) of such jurisdiction of formation as of a date within ten (10) days of the Closing Date;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Certificate of Incorporation as certified by the Secretary State of the State of Delaware within ten (10) days of the Closing Date;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its organizational charter (or such equivalent organizational document) as certified by the Secretary of State (or comparable office) of such Subsidiary’s jurisdiction of incorporation within ten (10) days of the Closing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the form acceptable to the Purchasers, executed by the Chief Executive Officer of the Company and each Subsidiary and dated as of the Closing Date, as to (i) the resolutions consistent with Section 3(f) as adopted by the Company’s and each Subsidiary’s board of directors in a form reasonably acceptable to the Buyer, (ii) the Certificate of Incorporation of the Company and the organizational documents of each Subsidiary, (iii) the Bylaws of the Company, and (iv) if applicable, the bylaws of each Subsidiary, each as in effect at the Closing;</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duly executed by the Chief Executive Officer of the Company, dated as of the Closing Date, that each and every representation and warranty of the Company shall be true and correct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on the letterhead of the Company, duly executed by the Chief Executive Officer of the Company, setting forth the wire amounts of the Purchasers and the wire transfer instructions of the Company;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shall have delivered to the Purchasers such other documents, instruments or certificates relating to the transactions contemplated by this Agreement as the Purchasers or their counsel may reasonably request.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3.1 Representations and Warranties of the Company. Except as set forth in the SEC Reports, the Company hereby makes the following representations and warranties to each Purchaser:</w:t>
      </w:r>
    </w:p>
    <w:p>
      <w:pPr>
        <w:spacing w:after="0" w:line="162" w:lineRule="exact"/>
        <w:rPr>
          <w:sz w:val="20"/>
          <w:szCs w:val="20"/>
          <w:color w:val="auto"/>
        </w:rPr>
      </w:pPr>
    </w:p>
    <w:p>
      <w:pPr>
        <w:jc w:val="both"/>
        <w:ind w:firstLine="656"/>
        <w:spacing w:after="0" w:line="266"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shares or other equity interests of each Subsidiary, free and clear of any Liens, except as set forth in the SEC Reports, and all of the issued and outstanding shares of capital stock of each Subsidiary are validly issued and are fully paid, non-assessable and free of preemptive and similar rights to subscribe for or purchase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56"/>
        <w:spacing w:after="0" w:line="254"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duly organized and validly existing and in good standing under the laws of the jurisdiction in which it is formed, and have the requisite power and authority to own their properties and to carry on their business as now being conducted and as presently proposed to be conducted. The Company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(ii) the transactions contemplated hereby or in any of the other Transaction Documents or any other agreements or instruments to be entered into in connection herewith or therewith or (iii) the authority or ability of the Company to perform any of its obligations under any of the Transaction Documents.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operating agreement,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and the rules and regulations the OTCQB Venture Market (the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or by which any property or asset of the Company or a Subsidiary is bound or affected; except in the case of each of clauses (ii) and (iii), such as could not have or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this Agreement, (ii) notices and/or application(s) to each applicable Trading Market for the issuance and sale of the Securities and the listing of the Shares and Warrant Shares for trading thereon in the time and manner required thereby, (iii) the filing of Form D with the Commission and such filings as are required to be made under applicable state securities laws, (iv) the Shareholder Approvals and (v) filings required by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Notes and the Warrants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Notes and Warrants, when paid for and issued in accordance with this Agreement, will constitute valid and binding obligations of the Company, enforceable against the Company in accordance with their terms, except as such enforceability may be limited by bankruptcy, insolvency, reorganization or similar laws affecting the rights of creditors generally and subject to general principles of equity. The Underlying Shares are duly authorized and, when issued in accordance with the terms of the applicable Transaction Documents, will be validly issued, fully paid and nonassessable, free and clear of all Liens imposed by the Company other than restrictions on transfer provided for in the Transaction Documents.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56"/>
        <w:spacing w:after="0" w:line="251" w:lineRule="auto"/>
        <w:tabs>
          <w:tab w:leader="none" w:pos="9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Except as provided on Schedule 3.1(g),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materials)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Except as provided on Schedule 3.1(g), the financial statements of the Company included in the SEC Reports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No other information provided by or on behalf of the Company to any of the Purchasers which is not included in the SEC Documents (including, without limitation, information referred to in Section 3.2(e)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5"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on the SEC Reports and Schedule 3.1(h), since the date of the latest financial statements filed by the Company with the Commission,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strategic acquisitions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of its shares, (v) the Company has not issued any equity securities to any officer, director or Affiliate, except pursuant to existing Company equity incentive plans, (vi) the Company has no liabilities or obligations, absolute or contingent (individually or in the aggregate) in excess of $250,000, (vii) the Company has no outstanding debt securities, notes, credit agreements, credit facilities or other agreements, documents or instruments evidencing indebtedness of the Company or by which the Company is or may become bound;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4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contract, agreement or instrument, the violation of which, or default under which, by the other party(ies) to such contract, agreement or instrument could reasonably be expected to result in a Material Adverse Effect; (ix) the Company has no financing statements securing obligations in any amounts filed in connection with the Company; (x) the Company is not in violation of any term of, or in default under, any contract, agreement or instrument relating to any indebtedness, except where such violations and defaults would not result, individually or in the aggregate, in a Material Adverse Effect, and (xi) the Company is not a party to any contract, agreement or instrument relating to any indebtedness, the performance of which, in the judgment of the Company’s officers, has or is expected to have a Material Adverse Effect. The Company does not have pending before the Commission any request for confidential treatment of information. Except for the issuance of the Securities contemplated by this Agreement,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No event, liability, development or circumstance has occurred or exists, or is reasonably expected to exist or occur with respect to the Company, or any of its businesses, properties, liabilities, prospects, operations (including results thereof) or condition (financial or otherwise), that (i) could have a material adverse effect on any Purchaser’s investment hereunder or (ii) could have a Material Adverse Effect.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656"/>
        <w:spacing w:after="0" w:line="254" w:lineRule="auto"/>
        <w:tabs>
          <w:tab w:leader="none" w:pos="8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do so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actual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656"/>
        <w:spacing w:after="0" w:line="258" w:lineRule="auto"/>
        <w:tabs>
          <w:tab w:leader="none" w:pos="9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an amount deemed commercially reasonable.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share option agreements under any share option plan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10-K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Form 10-K under the Exchange Act the conclusions of the certifying officers about the effectiveness of the disclosure controls and procedures based on their evaluations as of the Evaluation Date. Except as set forth in the SEC Reports, since the Evaluation Date, there have been no changes in the internal control over financial reporting (as such term is defined in the Exchange Act)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right="20" w:firstLine="656"/>
        <w:spacing w:after="0" w:line="282" w:lineRule="auto"/>
        <w:tabs>
          <w:tab w:leader="none" w:pos="9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SEC Reports, no Person has any right to cause the Company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no registration under the Securities Act is required for the offer and sale of the Securities by the Company to the Purchasers as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each Purchaser as an “accredited investor”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each Purchaser a copy of any disclosures provided thereunder.</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the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left="-460" w:firstLine="644"/>
        <w:spacing w:after="0" w:line="253" w:lineRule="auto"/>
        <w:tabs>
          <w:tab w:leader="none" w:pos="4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Notes and the Underlying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1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7" w:name="page28"/>
    <w:bookmarkEnd w:id="27"/>
    <w:p>
      <w:pPr>
        <w:jc w:val="both"/>
        <w:ind w:left="660" w:firstLine="644"/>
        <w:spacing w:after="0" w:line="255" w:lineRule="auto"/>
        <w:tabs>
          <w:tab w:leader="none" w:pos="1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each Purchaser of the Transaction Documents and the consummation by the Purchasers of the transactions contemplated thereunder will not (a) result in a violation of the organizational documents of a Purchaser or (b) conflict with, or constitute a default (or an event which with notice or lapse of time or both would become a default) under, or give to others any rights of termination, amendment, acceleration or cancellation of, any agreement, indenture or instrument to which the Purchaser is a party, or (c) result in a violation of any applicable law, rule, regulation, order, judgment or decree (including federal and state securities laws), except in the case of clauses (b) and (c) above, for such conflicts, defaults, rights or violations which would not, individually or in the aggregate, reasonably be expected to have a material adverse effect on the ability of a Purchaser to perform its obligations 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agree to the imprinting,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any Securities in the following form:</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OR CONVERTIBLE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spacing w:after="0" w:line="189" w:lineRule="exact"/>
        <w:rPr>
          <w:sz w:val="20"/>
          <w:szCs w:val="20"/>
          <w:color w:val="auto"/>
        </w:rPr>
      </w:pPr>
    </w:p>
    <w:p>
      <w:pPr>
        <w:jc w:val="both"/>
        <w:ind w:firstLine="644"/>
        <w:spacing w:after="0" w:line="252" w:lineRule="auto"/>
        <w:tabs>
          <w:tab w:leader="none" w:pos="8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evidencing the Securities shall not contain any legend (including the legend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hereof): (i) while a registration statement covering the resale of such security is effective under the Securities Act, or (ii) following any sale of such Underlying Shares pursuant to Rule 144 (assuming cashless exercise of the Warrants), or (iii) if such Underlying Shares are eligible for sale under Rule 144 (assuming cashless exercise of the Warrants) without the requirement for the Company to be in compliance with the current public information required under Rule 144 as to such Securities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or Note is exercised or converted, respectively, at a time when there is an effective registration statement to cover the resale of the Underlying Shares, or if such Underlying Shares may be sold under Rule 144 and the Company is then in compliance with the current public information required under Rule 144 (assuming cashless exercise of the Warrants), or if the Underlying Shares may be sold under Rule 144 without the requirement for the Company to be in compliance with the current public information required under Rule 144 as to such Underlying Shares, or if such legend is not otherwise required under applicable requirements of the Securities Act (including judicial interpretations and pronouncements issued by the staff of the Commission) then such Underlying Shares shall be issued free of all legends.</w:t>
      </w:r>
    </w:p>
    <w:p>
      <w:pPr>
        <w:spacing w:after="0" w:line="197" w:lineRule="exact"/>
        <w:rPr>
          <w:rFonts w:ascii="Times New Roman" w:cs="Times New Roman" w:eastAsia="Times New Roman" w:hAnsi="Times New Roman"/>
          <w:sz w:val="18"/>
          <w:szCs w:val="18"/>
          <w:color w:val="auto"/>
        </w:rPr>
      </w:pPr>
    </w:p>
    <w:p>
      <w:pPr>
        <w:jc w:val="both"/>
        <w:ind w:firstLine="644"/>
        <w:spacing w:after="0" w:line="258"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is predicated upon the Company’s reliance upon this understanding.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or the rules of any Trading Market,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the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which shall be disclosed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in violation of FCPA or OFAC regulations. Further, the Company shall not, directly or indirectly, except as set forth on Schedule 4.6, use the net proceeds from the sale of the Securities hereunder for (i) the satisfaction of any indebtedness of the Company or any of its Subsidiaries, other than in the ordinary course of business, including trade payables (ii) the redemption or repurchase of any securities of the Company or any of its Subsidiaries, or (iii) the settlement of any outstanding litigation.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0" w:name="page31"/>
    <w:bookmarkEnd w:id="3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harmless from and against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or (c) in connection with any registration statement of the Company providing for the resale by the Purchasers of the Underlying Shares, the Company will indemnify each Purchaser Party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provided that the failure to give such notice shall not relieve the Company of its obligations hereunder except to the extent the Company is materially prejudiced thereby,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spacing w:after="0" w:line="1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1" w:name="page32"/>
    <w:bookmarkEnd w:id="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(iii) no Purchaser shall have any duty of confidentiality or duty not to trade in the securities of the Company to the Company, any of its Subsidiaries, or any of their respective officers, directors, employees, Affiliates, or agents, including, without limitation, the Placement Agent, after the issuance of the initial press release as described </w:t>
      </w:r>
      <w:r>
        <w:rPr>
          <w:rFonts w:ascii="Times New Roman" w:cs="Times New Roman" w:eastAsia="Times New Roman" w:hAnsi="Times New Roman"/>
          <w:sz w:val="18"/>
          <w:szCs w:val="18"/>
          <w:u w:val="single" w:color="auto"/>
          <w:color w:val="auto"/>
        </w:rPr>
        <w:t>in Section 4.3</w:t>
      </w:r>
      <w:r>
        <w:rPr>
          <w:rFonts w:ascii="Times New Roman" w:cs="Times New Roman" w:eastAsia="Times New Roman" w:hAnsi="Times New Roman"/>
          <w:sz w:val="18"/>
          <w:szCs w:val="18"/>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Registration Statement; Note Shares</w:t>
      </w:r>
      <w:r>
        <w:rPr>
          <w:rFonts w:ascii="Times New Roman" w:cs="Times New Roman" w:eastAsia="Times New Roman" w:hAnsi="Times New Roman"/>
          <w:sz w:val="18"/>
          <w:szCs w:val="18"/>
          <w:color w:val="auto"/>
        </w:rPr>
        <w:t>. The Company shall file a resale registration statement covering the resale by the Purchasers of the Notes Shares in accordance with the terms of the Notes.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Registration Statement; Warrant Shares</w:t>
      </w:r>
      <w:r>
        <w:rPr>
          <w:rFonts w:ascii="Times New Roman" w:cs="Times New Roman" w:eastAsia="Times New Roman" w:hAnsi="Times New Roman"/>
          <w:sz w:val="18"/>
          <w:szCs w:val="18"/>
          <w:color w:val="auto"/>
        </w:rPr>
        <w:t>. All Warrant Shares shall have the benefit of registration rights on the terms set forth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960" w:hanging="316"/>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following capitalized terms are defined as follows:</w:t>
      </w:r>
    </w:p>
    <w:p>
      <w:pPr>
        <w:spacing w:after="0" w:line="225" w:lineRule="exact"/>
        <w:rPr>
          <w:rFonts w:ascii="Times New Roman" w:cs="Times New Roman" w:eastAsia="Times New Roman" w:hAnsi="Times New Roman"/>
          <w:sz w:val="18"/>
          <w:szCs w:val="18"/>
          <w:color w:val="auto"/>
        </w:rPr>
      </w:pPr>
    </w:p>
    <w:p>
      <w:pPr>
        <w:jc w:val="both"/>
        <w:ind w:left="1620" w:hanging="652"/>
        <w:spacing w:after="0" w:line="261"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xml:space="preserve">” shall mean a registration statement on Form S-3 (or, if Form S-3 is not then available to the Company, on such other form as is then available to the Company) to register for resale the Registrable Shares required to be filed by </w:t>
      </w:r>
      <w:r>
        <w:rPr>
          <w:rFonts w:ascii="Times New Roman" w:cs="Times New Roman" w:eastAsia="Times New Roman" w:hAnsi="Times New Roman"/>
          <w:sz w:val="18"/>
          <w:szCs w:val="18"/>
          <w:u w:val="single" w:color="auto"/>
          <w:color w:val="auto"/>
        </w:rPr>
        <w:t>Section 4.11(a)(ii)</w:t>
      </w:r>
      <w:r>
        <w:rPr>
          <w:rFonts w:ascii="Times New Roman" w:cs="Times New Roman" w:eastAsia="Times New Roman" w:hAnsi="Times New Roman"/>
          <w:sz w:val="18"/>
          <w:szCs w:val="18"/>
          <w:color w:val="auto"/>
        </w:rPr>
        <w:t xml:space="preserve"> below, and shall include any preliminary prospectus, final prospectus, exhibit or amendment included in or relating to such registration statements.</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2" w:name="page33"/>
    <w:bookmarkEnd w:id="32"/>
    <w:p>
      <w:pPr>
        <w:jc w:val="both"/>
        <w:ind w:left="1160" w:hanging="652"/>
        <w:spacing w:after="0" w:line="254" w:lineRule="auto"/>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Shares</w:t>
      </w:r>
      <w:r>
        <w:rPr>
          <w:rFonts w:ascii="Times New Roman" w:cs="Times New Roman" w:eastAsia="Times New Roman" w:hAnsi="Times New Roman"/>
          <w:sz w:val="18"/>
          <w:szCs w:val="18"/>
          <w:color w:val="auto"/>
        </w:rPr>
        <w:t xml:space="preserve">” means the Warrant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Warrant Shares shall cease to be a Registrable Share upon the earliest to occur of the following: (i) a Resale Registration Statement registering such security under the Securities Act has been declared or becomes effective and such security has been sold or otherwise transferred by the Purchaser pursuant to and in a manner contemplated by such effective Resale Registration Statement; (ii) such security is sold pursuant to Rule 144 under circumstances in which any legend borne by such security relating to restrictions on transferability thereof, under the Securities Act or otherwise, is removed by the Company; (iii) the first date such security is eligible to be sold pursuant to Rule 144 without any limitation as to volume of sales, holding period and without the Purchaser complying with any method of sale requirements or notice requirements under Rule 144; or (iv) such security shall cease to be outstanding following its issuance.</w:t>
      </w:r>
    </w:p>
    <w:p>
      <w:pPr>
        <w:spacing w:after="0" w:line="194" w:lineRule="exact"/>
        <w:rPr>
          <w:rFonts w:ascii="Times New Roman" w:cs="Times New Roman" w:eastAsia="Times New Roman" w:hAnsi="Times New Roman"/>
          <w:sz w:val="18"/>
          <w:szCs w:val="18"/>
          <w:color w:val="auto"/>
        </w:rPr>
      </w:pPr>
    </w:p>
    <w:p>
      <w:pPr>
        <w:jc w:val="both"/>
        <w:ind w:left="1160" w:hanging="652"/>
        <w:spacing w:after="0" w:line="214" w:lineRule="auto"/>
        <w:tabs>
          <w:tab w:leader="none" w:pos="1160" w:val="left"/>
        </w:tabs>
        <w:numPr>
          <w:ilvl w:val="1"/>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following the date that the Registration Statement is filed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event the Commission reviews or has written or verbal comments to the Resale Registration Statement,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Filing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Company is notified by the Commission that the Resale Registration Statement will not be reviewed or is no longer subject to further review and comments, the Effectiveness Deadline shall be no later than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of such notification.</w:t>
      </w:r>
    </w:p>
    <w:p>
      <w:pPr>
        <w:spacing w:after="0" w:line="80" w:lineRule="exact"/>
        <w:rPr>
          <w:rFonts w:ascii="Times New Roman" w:cs="Times New Roman" w:eastAsia="Times New Roman" w:hAnsi="Times New Roman"/>
          <w:sz w:val="36"/>
          <w:szCs w:val="36"/>
          <w:color w:val="auto"/>
          <w:vertAlign w:val="superscript"/>
        </w:rPr>
      </w:pPr>
    </w:p>
    <w:p>
      <w:pPr>
        <w:jc w:val="both"/>
        <w:ind w:left="500" w:hanging="316"/>
        <w:spacing w:after="0" w:line="254"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Provided that the Company is qualified for the use of a Resale Registration Statement, the Company shall file within 30 days of the Warrant Exercise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a Resale Registration Statement providing for the registration of, and the sale on a continuous or delayed basis of, all Warrant Shares then held by the Purchaser pursuant to Rule 415 under the Securities Act. Upon filing the Resale Registration Statement, the Company shall use its best efforts to cause such Resale Registration Statement to be declared effective by the Effectiveness Deadline, keep such Resale Registration Statement effective with the Commission at all times, re-file such Resale Registration Statement upon its expiration, and cooperate in any amendment or supplementation of the prospectus related to the Resale Registration Statement as may be reasonably requested by the Company or as otherwise required, until such time as all Warrant Shares that could be sold under the Resale Registration Statement have been sold or are no longer outstanding.</w:t>
      </w:r>
    </w:p>
    <w:p>
      <w:pPr>
        <w:spacing w:after="0" w:line="188"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Statement</w:t>
      </w:r>
      <w:r>
        <w:rPr>
          <w:rFonts w:ascii="Times New Roman" w:cs="Times New Roman" w:eastAsia="Times New Roman" w:hAnsi="Times New Roman"/>
          <w:sz w:val="18"/>
          <w:szCs w:val="18"/>
          <w:color w:val="auto"/>
        </w:rPr>
        <w:t xml:space="preserve">. In addition to the rights provided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above, upon the registration of the issuance of securities in a Qualified Offering, the Company, upon written request of the Purchaser, shall include in such registration statement the resale of the Warrant Shares, upon the same terms as the securities issued in the Qualified Offering.</w:t>
      </w:r>
    </w:p>
    <w:p>
      <w:pPr>
        <w:spacing w:after="0" w:line="175" w:lineRule="exact"/>
        <w:rPr>
          <w:rFonts w:ascii="Times New Roman" w:cs="Times New Roman" w:eastAsia="Times New Roman" w:hAnsi="Times New Roman"/>
          <w:sz w:val="18"/>
          <w:szCs w:val="18"/>
          <w:color w:val="auto"/>
        </w:rPr>
      </w:pPr>
    </w:p>
    <w:p>
      <w:pPr>
        <w:jc w:val="both"/>
        <w:ind w:left="500" w:hanging="316"/>
        <w:spacing w:after="0" w:line="251"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the Commission prevents the Company from including any or all of the Registrable Shares in a Resale Registration Statement due to limitations on the use of Rule 415 under the Securities Act or requires the Purchaser to be named as an “underwriter,” the Company shall use its best efforts to persuade, consistent with applicable law, the Commission that the offering contemplated by the Resale Registration Statement is a valid secondary offering and not an offering “by or on behalf of the registrant” as described in Rule 415 and that the Purchaser is not an “underwriter.”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Commission refuses to alter its position, the Company shall (i) remove from the Resale Registration Statement only such portion of the Registrable Shares (the “</w:t>
      </w:r>
      <w:r>
        <w:rPr>
          <w:rFonts w:ascii="Times New Roman" w:cs="Times New Roman" w:eastAsia="Times New Roman" w:hAnsi="Times New Roman"/>
          <w:sz w:val="18"/>
          <w:szCs w:val="18"/>
          <w:u w:val="single" w:color="auto"/>
          <w:color w:val="auto"/>
        </w:rPr>
        <w:t>Cut 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and/or (ii) agree to such restrictions and limitations on the registration and resale of the Registrable Shares, in each of (i) and (ii), as the Commission requires to assure the Company’s compliance with the requirements of Rule 415 (collectively,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agree to name the Purchaser as an “underwriter” in such Resale Registration Statement without the prior written consent of the Purchaser. The Purchaser acknowledges that it shall not have suffered any losses as to any Cut Back Shares until the date that is five (5) Trading Days following the date that the Company is eligible to bring effective the registration of such Cut Back Shares in accordance with any SEC Restrictions (such date, the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of such Cut Back Shares). From and after the Restriction Termination Date applicable to any Cut Back Shares, all of the provisions of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again be applicable to such Cut Back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Filing Deadline for the Resale Registration Statement including such Cut Back Shares shall be ten (10) Trading Days after such Restriction Termination Date, and the Company shall use its commercially reasonable efforts to cause such Resale Registration Statement to become effective as promptly as practicable, but in any event, by the Effectiveness Deadline (provided, however, that for purposes of a Resale Registration Statement registering such Cut Back Shares, references to the “Filing Date” contained in the definition of “Effectiveness Deadline” shall instead be to the “Restriction Termination Date”). Any failure by the Company to file a Resale Registration Statement by the Filing Deadline or to cause such Resale Registration Statement to become effective by the Effectiveness Deadline shall not otherwise relieve the Company of its obligations to file or cause to become effective the Resale Registration Statements as set forth in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33" w:name="page34"/>
    <w:bookmarkEnd w:id="33"/>
    <w:p>
      <w:pPr>
        <w:jc w:val="both"/>
        <w:ind w:left="960" w:hanging="316"/>
        <w:spacing w:after="0" w:line="253"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Suspension</w:t>
      </w:r>
      <w:r>
        <w:rPr>
          <w:rFonts w:ascii="Times New Roman" w:cs="Times New Roman" w:eastAsia="Times New Roman" w:hAnsi="Times New Roman"/>
          <w:sz w:val="18"/>
          <w:szCs w:val="18"/>
          <w:color w:val="auto"/>
        </w:rPr>
        <w:t xml:space="preserve">. The Purchaser acknowledges that there may be times when the Company must suspend the use of the prospectus forming a part of the Resale Registration Statement until such time as an amendment to the Resale Registration Statement has been filed by the Company and declared effective by the Commission, or until such time as the Company has filed an appropriate report with the Commission pursuant to the Exchange Act. The Purchaser hereby covenants that it will not sell any Registrable Shares pursuant to said prospectus during the period commencing at the time at which the Company gives the Purchaser notice of the suspension of the use of said prospectus and ending at the time the Company gives the Purchaser notice that the Purchaser may thereafter effect sales pursuant to said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 that such suspension periods shall in no event exceed (A) on more than two occasions, a period of more than thirty (30) consecutive trading days or (B) more than an aggregate total of sixty (60) trading days, in each case in any 12 (twelve) month period, and (ii) the Company’s board of directors has reasonably determined that, in order for such Resale Registration Statement not to contain a material misstatement or omission, an amendment thereto would be needed to include information that would at that time not otherwise be required in a current, quarterly or annual report under the Exchange Act.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So long as the Note or the Warrant are outstanding, the Company shall not, directly or indirectly, redeem, or declare or pay any cash dividend or distribution on, any securities of the Company without the prior express written consent of the Purchaser.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xml:space="preserve">. For so long as the Note remains outstanding, upon any entity becoming a direct, or indirect, Subsidiary of the Company, the Company shall cause each such Subsidiary to become party to a guaranty executed by such Subsidiary of the Company,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(collectively, the “Guaranties”) pursuant to which each of them guarantees the obligations of the Company under the Transaction Documents by executing a joinder to the Guaranty reasonably satisfactory in form and substance to the Required Holders.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Variable Rate Transactions</w:t>
      </w:r>
      <w:r>
        <w:rPr>
          <w:rFonts w:ascii="Times New Roman" w:cs="Times New Roman" w:eastAsia="Times New Roman" w:hAnsi="Times New Roman"/>
          <w:sz w:val="18"/>
          <w:szCs w:val="18"/>
          <w:color w:val="auto"/>
        </w:rPr>
        <w:t>. From the date hereof until the date the Note no longer remains outstanding,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4" w:name="page35"/>
    <w:bookmarkEnd w:id="34"/>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w:t>
      </w:r>
    </w:p>
    <w:p>
      <w:pPr>
        <w:spacing w:after="0" w:line="1" w:lineRule="exact"/>
        <w:rPr>
          <w:sz w:val="20"/>
          <w:szCs w:val="20"/>
          <w:color w:val="auto"/>
        </w:rPr>
      </w:pPr>
    </w:p>
    <w:p>
      <w:pPr>
        <w:jc w:val="both"/>
        <w:ind w:left="4"/>
        <w:spacing w:after="0" w:line="209" w:lineRule="auto"/>
        <w:rPr>
          <w:sz w:val="20"/>
          <w:szCs w:val="20"/>
          <w:color w:val="auto"/>
        </w:rPr>
      </w:pPr>
      <w:r>
        <w:rPr>
          <w:rFonts w:ascii="Times New Roman" w:cs="Times New Roman" w:eastAsia="Times New Roman" w:hAnsi="Times New Roman"/>
          <w:sz w:val="18"/>
          <w:szCs w:val="18"/>
          <w:color w:val="auto"/>
        </w:rPr>
        <w:t>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hereof; provided, however, that no such termination will affect the right of any party to sue for any breach by any other party (or parties).</w:t>
      </w:r>
    </w:p>
    <w:p>
      <w:pPr>
        <w:spacing w:after="0" w:line="200"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w:t>
      </w:r>
    </w:p>
    <w:p>
      <w:pPr>
        <w:spacing w:after="0" w:line="1" w:lineRule="exact"/>
        <w:rPr>
          <w:sz w:val="20"/>
          <w:szCs w:val="20"/>
          <w:color w:val="auto"/>
        </w:rPr>
      </w:pPr>
    </w:p>
    <w:p>
      <w:pPr>
        <w:jc w:val="both"/>
        <w:ind w:left="4" w:hanging="4"/>
        <w:spacing w:after="0" w:line="250" w:lineRule="auto"/>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w:t>
      </w:r>
    </w:p>
    <w:p>
      <w:pPr>
        <w:spacing w:after="0" w:line="1" w:lineRule="exact"/>
        <w:rPr>
          <w:sz w:val="20"/>
          <w:szCs w:val="20"/>
          <w:color w:val="auto"/>
        </w:rPr>
      </w:pPr>
    </w:p>
    <w:p>
      <w:pPr>
        <w:jc w:val="both"/>
        <w:ind w:left="4"/>
        <w:spacing w:after="0" w:line="221" w:lineRule="auto"/>
        <w:rPr>
          <w:sz w:val="20"/>
          <w:szCs w:val="20"/>
          <w:color w:val="auto"/>
        </w:rPr>
      </w:pPr>
      <w:r>
        <w:rPr>
          <w:rFonts w:ascii="Times New Roman" w:cs="Times New Roman" w:eastAsia="Times New Roman" w:hAnsi="Times New Roman"/>
          <w:sz w:val="18"/>
          <w:szCs w:val="18"/>
          <w:color w:val="auto"/>
        </w:rPr>
        <w:t>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Waivers. No provision of this Agreement may be waived, modified, supplemented or amended except in a written instrument signed, in the case of an amendment, by the Company and Purchasers which purchased at least 50.1% in interest of the Securities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binding upon each Purchaser and holder of Securities and the Company.</w:t>
      </w:r>
    </w:p>
    <w:p>
      <w:pPr>
        <w:spacing w:after="0" w:line="19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Chancery Court of the State of Delaware and the United States District Court for the District of Delaware. Each party hereby irrevocably submits to the exclusive jurisdiction of the Chancery Court of the State of Delaware and the United States District Court for the District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color w:val="auto"/>
        </w:rPr>
        <w:t>WAIVER OF JURY TRIAL. 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ZYVERSA THERAPEUTICS, INC.</w:t>
            </w:r>
          </w:p>
        </w:tc>
        <w:tc>
          <w:tcPr>
            <w:tcW w:w="2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2346 N. Federal HWY, Suite 466,</w:t>
            </w: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Lighthouse Point, FL 33064</w:t>
            </w: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Peter Wolfe, CFO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pwolfe@zyversa.com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Glover</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Thompson Hine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Faith L. Charles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Madison Avenue,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Faith.Charles@thompsonhine.com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ZVSA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CONVERTIBLE PROMISSORY NOTE NOR THE SECURITIES THAT MAY BE ACQUIRED PURSUANT TO THIS CONVERTIBLE PROMISSORY NOTE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2026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Zyversa Therapeutics, Inc., a company organized under the laws of the State of Delaware (“</w:t>
      </w:r>
      <w:r>
        <w:rPr>
          <w:rFonts w:ascii="Times New Roman" w:cs="Times New Roman" w:eastAsia="Times New Roman" w:hAnsi="Times New Roman"/>
          <w:sz w:val="18"/>
          <w:szCs w:val="18"/>
          <w:b w:val="1"/>
          <w:bCs w:val="1"/>
          <w:i w:val="1"/>
          <w:iCs w:val="1"/>
          <w:color w:val="auto"/>
        </w:rPr>
        <w:t>Maker</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____________________, a _______________, or its registered assigns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in lawful money of the United States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(i) the sum of ______________________ dollars ($__________) (the “</w:t>
      </w:r>
      <w:r>
        <w:rPr>
          <w:rFonts w:ascii="Times New Roman" w:cs="Times New Roman" w:eastAsia="Times New Roman" w:hAnsi="Times New Roman"/>
          <w:sz w:val="18"/>
          <w:szCs w:val="18"/>
          <w:b w:val="1"/>
          <w:bCs w:val="1"/>
          <w:i w:val="1"/>
          <w:iCs w:val="1"/>
          <w:color w:val="auto"/>
        </w:rPr>
        <w:t>Principal Amount</w:t>
      </w:r>
      <w:r>
        <w:rPr>
          <w:rFonts w:ascii="Times New Roman" w:cs="Times New Roman" w:eastAsia="Times New Roman" w:hAnsi="Times New Roman"/>
          <w:sz w:val="18"/>
          <w:szCs w:val="18"/>
          <w:color w:val="auto"/>
        </w:rPr>
        <w:t>”); and (ii) interest accrued on the unpaid Principal</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Amount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All Note Obligations (as defined below) under this convertible promissory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shall be due and payable on (a) the Maturity Date (as defined below) of this Note; or (b) when, upon or after the occurrence and during the continuance of an Event of Default (as defined below), such amounts are declared due and payable by Holder or made automatically due and payable in accordance with the terms hereof. Maker and Holder may be individually referred to herein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Preamble and Recitals</w:t>
      </w:r>
      <w:r>
        <w:rPr>
          <w:rFonts w:ascii="Times New Roman" w:cs="Times New Roman" w:eastAsia="Times New Roman" w:hAnsi="Times New Roman"/>
          <w:sz w:val="18"/>
          <w:szCs w:val="18"/>
          <w:color w:val="auto"/>
        </w:rPr>
        <w:t>: The terms defined above are incorporated herein.</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Note, the following terms shall have the following meanings (with terms defined in the singular having comparable meanings when used in the plural and vice versa):</w:t>
      </w:r>
    </w:p>
    <w:p>
      <w:pPr>
        <w:spacing w:after="0" w:line="157" w:lineRule="exact"/>
        <w:rPr>
          <w:rFonts w:ascii="Times New Roman" w:cs="Times New Roman" w:eastAsia="Times New Roman" w:hAnsi="Times New Roman"/>
          <w:sz w:val="18"/>
          <w:szCs w:val="18"/>
          <w:b w:val="1"/>
          <w:bCs w:val="1"/>
          <w:color w:val="auto"/>
        </w:rPr>
      </w:pPr>
    </w:p>
    <w:p>
      <w:pPr>
        <w:ind w:left="2080" w:hanging="452"/>
        <w:spacing w:after="0" w:line="286" w:lineRule="auto"/>
        <w:tabs>
          <w:tab w:leader="none" w:pos="20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ind w:left="2080" w:hanging="452"/>
        <w:spacing w:after="0" w:line="286" w:lineRule="auto"/>
        <w:tabs>
          <w:tab w:leader="none" w:pos="20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 day on which banking institutions in the State of New York are permitted or obligated by applicable law to remain closed.</w:t>
      </w:r>
    </w:p>
    <w:p>
      <w:pPr>
        <w:spacing w:after="0" w:line="154"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Company’s Common Stock, par value $0.001 per share.</w:t>
      </w:r>
    </w:p>
    <w:p>
      <w:pPr>
        <w:spacing w:after="0" w:line="225" w:lineRule="exact"/>
        <w:rPr>
          <w:rFonts w:ascii="Times New Roman" w:cs="Times New Roman" w:eastAsia="Times New Roman" w:hAnsi="Times New Roman"/>
          <w:sz w:val="18"/>
          <w:szCs w:val="18"/>
          <w:color w:val="auto"/>
        </w:rPr>
      </w:pPr>
    </w:p>
    <w:p>
      <w:pPr>
        <w:jc w:val="both"/>
        <w:ind w:left="2080" w:hanging="452"/>
        <w:spacing w:after="0" w:line="262" w:lineRule="auto"/>
        <w:tabs>
          <w:tab w:leader="none" w:pos="20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means (i) upon a Qualified Offering, 80% of the Qualified Offering Price, or (ii) upon a conversion notice delivered pursuant to Section 8(b), 80% of the lowest daily VWAP of the Common Stock during the 10 Trading Days prior to delivery of the conversion notice, provided, however, in no event will the Conversion Price upon a conversion notice that is delivered pursuant to Section 8(b) be less than the Floor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left="960" w:hanging="452"/>
        <w:spacing w:after="0" w:line="268"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 Price</w:t>
      </w:r>
      <w:r>
        <w:rPr>
          <w:rFonts w:ascii="Times New Roman" w:cs="Times New Roman" w:eastAsia="Times New Roman" w:hAnsi="Times New Roman"/>
          <w:sz w:val="18"/>
          <w:szCs w:val="18"/>
          <w:color w:val="auto"/>
        </w:rPr>
        <w:t>” means $0.02.</w:t>
      </w:r>
    </w:p>
    <w:p>
      <w:pPr>
        <w:spacing w:after="0" w:line="225" w:lineRule="exact"/>
        <w:rPr>
          <w:rFonts w:ascii="Times New Roman" w:cs="Times New Roman" w:eastAsia="Times New Roman" w:hAnsi="Times New Roman"/>
          <w:sz w:val="18"/>
          <w:szCs w:val="18"/>
          <w:color w:val="auto"/>
        </w:rPr>
      </w:pPr>
    </w:p>
    <w:p>
      <w:pPr>
        <w:jc w:val="both"/>
        <w:ind w:left="960" w:hanging="452"/>
        <w:spacing w:after="0" w:line="25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voting power of the common equity outstanding, (y) 50% of the voting power of the common equity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50% of the voting power of the common equity outstanding, (y) at least 50% of the voting power of the common equity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voting power of the common equity outstanding,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reclassification, or otherwise in any manner whatsoever, of either (x) at least 50% of the voting power of the common equity outstanding, (y) at least 50% of the voting power of the common equity represented by issued and outstanding shares of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98"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225"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Optional Conversion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42" w:name="page43"/>
    <w:bookmarkEnd w:id="42"/>
    <w:p>
      <w:pPr>
        <w:ind w:left="2080" w:hanging="452"/>
        <w:spacing w:after="0"/>
        <w:tabs>
          <w:tab w:leader="none" w:pos="2080" w:val="left"/>
        </w:tabs>
        <w:numPr>
          <w:ilvl w:val="0"/>
          <w:numId w:val="4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2027.</w:t>
      </w:r>
    </w:p>
    <w:p>
      <w:pPr>
        <w:spacing w:after="0" w:line="77" w:lineRule="exact"/>
        <w:rPr>
          <w:rFonts w:ascii="Times New Roman" w:cs="Times New Roman" w:eastAsia="Times New Roman" w:hAnsi="Times New Roman"/>
          <w:sz w:val="36"/>
          <w:szCs w:val="36"/>
          <w:color w:val="auto"/>
          <w:vertAlign w:val="superscript"/>
        </w:rPr>
      </w:pPr>
    </w:p>
    <w:p>
      <w:pPr>
        <w:jc w:val="both"/>
        <w:ind w:left="2080" w:hanging="452"/>
        <w:spacing w:after="0" w:line="264"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 Obligations</w:t>
      </w:r>
      <w:r>
        <w:rPr>
          <w:rFonts w:ascii="Times New Roman" w:cs="Times New Roman" w:eastAsia="Times New Roman" w:hAnsi="Times New Roman"/>
          <w:sz w:val="18"/>
          <w:szCs w:val="18"/>
          <w:color w:val="auto"/>
        </w:rPr>
        <w:t xml:space="preserve">” means, as of the date of measurement, the Company’s obligation to pay the aggregate sum of (i) the outstanding unpaid Principal Amount of this Note; (ii) all accrued and unpaid interest thereon calculated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(iii) any other amounts payable hereunder with respect to this Note.</w:t>
      </w:r>
    </w:p>
    <w:p>
      <w:pPr>
        <w:spacing w:after="0" w:line="174" w:lineRule="exact"/>
        <w:rPr>
          <w:rFonts w:ascii="Times New Roman" w:cs="Times New Roman" w:eastAsia="Times New Roman" w:hAnsi="Times New Roman"/>
          <w:sz w:val="18"/>
          <w:szCs w:val="18"/>
          <w:color w:val="auto"/>
        </w:rPr>
      </w:pPr>
    </w:p>
    <w:p>
      <w:pPr>
        <w:ind w:left="2080" w:right="20" w:hanging="452"/>
        <w:spacing w:after="0" w:line="286"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54" w:lineRule="exact"/>
        <w:rPr>
          <w:rFonts w:ascii="Times New Roman" w:cs="Times New Roman" w:eastAsia="Times New Roman" w:hAnsi="Times New Roman"/>
          <w:sz w:val="18"/>
          <w:szCs w:val="18"/>
          <w:color w:val="auto"/>
        </w:rPr>
      </w:pPr>
    </w:p>
    <w:p>
      <w:pPr>
        <w:ind w:left="2080" w:hanging="452"/>
        <w:spacing w:after="0" w:line="286"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4" w:lineRule="exact"/>
        <w:rPr>
          <w:rFonts w:ascii="Times New Roman" w:cs="Times New Roman" w:eastAsia="Times New Roman" w:hAnsi="Times New Roman"/>
          <w:sz w:val="18"/>
          <w:szCs w:val="18"/>
          <w:color w:val="auto"/>
        </w:rPr>
      </w:pPr>
    </w:p>
    <w:p>
      <w:pPr>
        <w:ind w:left="2080" w:hanging="452"/>
        <w:spacing w:after="0" w:line="286"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means the OTCQB Venture Market operated by the OTC Markets Group, or such other principal exchange as the Common Stock may trade.</w:t>
      </w:r>
    </w:p>
    <w:p>
      <w:pPr>
        <w:spacing w:after="0" w:line="154" w:lineRule="exact"/>
        <w:rPr>
          <w:rFonts w:ascii="Times New Roman" w:cs="Times New Roman" w:eastAsia="Times New Roman" w:hAnsi="Times New Roman"/>
          <w:sz w:val="18"/>
          <w:szCs w:val="18"/>
          <w:color w:val="auto"/>
        </w:rPr>
      </w:pPr>
    </w:p>
    <w:p>
      <w:pPr>
        <w:ind w:left="2080" w:hanging="452"/>
        <w:spacing w:after="0" w:line="286"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Offering</w:t>
      </w:r>
      <w:r>
        <w:rPr>
          <w:rFonts w:ascii="Times New Roman" w:cs="Times New Roman" w:eastAsia="Times New Roman" w:hAnsi="Times New Roman"/>
          <w:sz w:val="18"/>
          <w:szCs w:val="18"/>
          <w:color w:val="auto"/>
        </w:rPr>
        <w:t>” means an equity financing pursuant to which the Company sells shares of Common Stock, or securities convertible into shares of Common Stock, in a net amount of at least $15 million.</w:t>
      </w:r>
    </w:p>
    <w:p>
      <w:pPr>
        <w:spacing w:after="0" w:line="154" w:lineRule="exact"/>
        <w:rPr>
          <w:rFonts w:ascii="Times New Roman" w:cs="Times New Roman" w:eastAsia="Times New Roman" w:hAnsi="Times New Roman"/>
          <w:sz w:val="18"/>
          <w:szCs w:val="18"/>
          <w:color w:val="auto"/>
        </w:rPr>
      </w:pPr>
    </w:p>
    <w:p>
      <w:pPr>
        <w:ind w:left="2080" w:hanging="452"/>
        <w:spacing w:after="0" w:line="286"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Offering Price</w:t>
      </w:r>
      <w:r>
        <w:rPr>
          <w:rFonts w:ascii="Times New Roman" w:cs="Times New Roman" w:eastAsia="Times New Roman" w:hAnsi="Times New Roman"/>
          <w:sz w:val="18"/>
          <w:szCs w:val="18"/>
          <w:color w:val="auto"/>
        </w:rPr>
        <w:t>” means the price per share of Common Stock, or price per share of Common Stock upon conversion of convertible debt, in a Qualified Offering.</w:t>
      </w:r>
    </w:p>
    <w:p>
      <w:pPr>
        <w:spacing w:after="0" w:line="154"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this Note and, as applicable, the shares of Common Stock issuable upon conversion of the Note.</w:t>
      </w:r>
    </w:p>
    <w:p>
      <w:pPr>
        <w:spacing w:after="0" w:line="225"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left="2080" w:hanging="452"/>
        <w:spacing w:after="0"/>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Market is open for trading.</w:t>
      </w:r>
    </w:p>
    <w:p>
      <w:pPr>
        <w:spacing w:after="0" w:line="225" w:lineRule="exact"/>
        <w:rPr>
          <w:rFonts w:ascii="Times New Roman" w:cs="Times New Roman" w:eastAsia="Times New Roman" w:hAnsi="Times New Roman"/>
          <w:sz w:val="18"/>
          <w:szCs w:val="18"/>
          <w:color w:val="auto"/>
        </w:rPr>
      </w:pPr>
    </w:p>
    <w:p>
      <w:pPr>
        <w:jc w:val="both"/>
        <w:ind w:left="2080" w:hanging="452"/>
        <w:spacing w:after="0" w:line="268" w:lineRule="auto"/>
        <w:tabs>
          <w:tab w:leader="none" w:pos="2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the Securities Purchase Agreement, the Notes, Warrants, the Guaranties, all exhibits and schedules thereto and hereto and any other documents or agreements executed in connection with the transactions contemplated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ind w:left="120" w:hanging="112"/>
        <w:spacing w:after="0"/>
        <w:tabs>
          <w:tab w:leader="none" w:pos="12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NTD</w:t>
      </w:r>
      <w:r>
        <w:rPr>
          <w:rFonts w:ascii="Times New Roman" w:cs="Times New Roman" w:eastAsia="Times New Roman" w:hAnsi="Times New Roman"/>
          <w:sz w:val="18"/>
          <w:szCs w:val="18"/>
          <w:color w:val="auto"/>
        </w:rPr>
        <w:t>: Insert date that is 12 months from the date of issuance.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43" w:name="page44"/>
    <w:bookmarkEnd w:id="43"/>
    <w:p>
      <w:pPr>
        <w:jc w:val="both"/>
        <w:ind w:left="2080" w:hanging="452"/>
        <w:spacing w:after="0" w:line="268" w:lineRule="auto"/>
        <w:tabs>
          <w:tab w:leader="none" w:pos="208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the term “Volume Weighted Average Price” per share of Common Stock on any Trading Day, as such price as displayed on Bloomberg (or any successor service) in respect of the period from 9:30 a.m. to 4:00 p.m., New York City time, on such Trading Day.</w:t>
      </w:r>
    </w:p>
    <w:p>
      <w:pPr>
        <w:spacing w:after="0" w:line="174" w:lineRule="exact"/>
        <w:rPr>
          <w:rFonts w:ascii="Times New Roman" w:cs="Times New Roman" w:eastAsia="Times New Roman" w:hAnsi="Times New Roman"/>
          <w:sz w:val="18"/>
          <w:szCs w:val="18"/>
          <w:color w:val="auto"/>
        </w:rPr>
      </w:pPr>
    </w:p>
    <w:p>
      <w:pPr>
        <w:jc w:val="both"/>
        <w:ind w:firstLine="8"/>
        <w:spacing w:after="0" w:line="255"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on the outstanding portion of the Principal Amount shall accrue at a rate equal to 10% (compounded annually)(the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and shall be due and payable to Holder on the Maturity Date; provided, however, that, from and after the occurrence and during the continuance of any Event of Default, interest on this Note shall accrue at a rate equal to 22% (compounded annually) (the “</w:t>
      </w:r>
      <w:r>
        <w:rPr>
          <w:rFonts w:ascii="Times New Roman" w:cs="Times New Roman" w:eastAsia="Times New Roman" w:hAnsi="Times New Roman"/>
          <w:sz w:val="18"/>
          <w:szCs w:val="18"/>
          <w:u w:val="single" w:color="auto"/>
          <w:color w:val="auto"/>
        </w:rPr>
        <w:t>Default Interest Rate</w:t>
      </w:r>
      <w:r>
        <w:rPr>
          <w:rFonts w:ascii="Times New Roman" w:cs="Times New Roman" w:eastAsia="Times New Roman" w:hAnsi="Times New Roman"/>
          <w:sz w:val="18"/>
          <w:szCs w:val="18"/>
          <w:color w:val="auto"/>
        </w:rPr>
        <w:t>”). If such Event of Default is subsequently cured or waived in writing by the Holder (and no other Event of Default then exists) interest shall cease to accrue at the Default Interest Rate as of the calendar day immediately following the date of such cure or waiver and shall accrue at the Interest Rate thereafter; provided that the interest as calculated and unpaid during the continuance of such Event of Default shall continue to apply to the extent relating to the days after the occurrence of such Event of Default through and including the date of such cure or waiver of such Event of Default, unless waived by the Holder.</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Unless otherwise earlier converted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Principal Amount plus all accrued but unpaid interest shall be due and payable to Holder on the Maturity Date.</w:t>
      </w:r>
    </w:p>
    <w:p>
      <w:pPr>
        <w:spacing w:after="0" w:line="159" w:lineRule="exact"/>
        <w:rPr>
          <w:rFonts w:ascii="Times New Roman" w:cs="Times New Roman" w:eastAsia="Times New Roman" w:hAnsi="Times New Roman"/>
          <w:sz w:val="18"/>
          <w:szCs w:val="18"/>
          <w:color w:val="auto"/>
        </w:rPr>
      </w:pPr>
    </w:p>
    <w:p>
      <w:pPr>
        <w:jc w:val="both"/>
        <w:ind w:firstLine="8"/>
        <w:spacing w:after="0" w:line="267"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Upon notice to Holder, Maker may prepay this Note in whole or in part, without premium or penalty; provided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such prepayment will be applied first to the payment of costs and expenses due under this Note, second to interest accrued on this Note and third, if the amount of prepayment exceeds the amount of all such costs, expenses and accrued interest, to the payment of the Principal Amount of this Note.</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of the following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under this Note:</w:t>
      </w:r>
    </w:p>
    <w:p>
      <w:pPr>
        <w:spacing w:after="0" w:line="227"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Pay</w:t>
      </w:r>
      <w:r>
        <w:rPr>
          <w:rFonts w:ascii="Times New Roman" w:cs="Times New Roman" w:eastAsia="Times New Roman" w:hAnsi="Times New Roman"/>
          <w:sz w:val="18"/>
          <w:szCs w:val="18"/>
          <w:color w:val="auto"/>
        </w:rPr>
        <w:t>. Maker shall fail to pay when due any principal or interest payment on the due date hereunder or any other amount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when due, whether at maturity or otherwise, and such payment shall remain unpaid for five (5) Business Days; or</w:t>
      </w:r>
    </w:p>
    <w:p>
      <w:pPr>
        <w:spacing w:after="0" w:line="158" w:lineRule="exact"/>
        <w:rPr>
          <w:rFonts w:ascii="Times New Roman" w:cs="Times New Roman" w:eastAsia="Times New Roman" w:hAnsi="Times New Roman"/>
          <w:sz w:val="18"/>
          <w:szCs w:val="18"/>
          <w:i w:val="1"/>
          <w:iCs w:val="1"/>
          <w:color w:val="auto"/>
        </w:rPr>
      </w:pPr>
    </w:p>
    <w:p>
      <w:pPr>
        <w:jc w:val="both"/>
        <w:ind w:left="1300" w:hanging="644"/>
        <w:spacing w:after="0" w:line="257" w:lineRule="auto"/>
        <w:tabs>
          <w:tab w:leader="none" w:pos="1300"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Voluntary Bankruptcy or Insolvency Proceedings</w:t>
      </w:r>
      <w:r>
        <w:rPr>
          <w:rFonts w:ascii="Times New Roman" w:cs="Times New Roman" w:eastAsia="Times New Roman" w:hAnsi="Times New Roman"/>
          <w:sz w:val="18"/>
          <w:szCs w:val="18"/>
          <w:color w:val="auto"/>
        </w:rPr>
        <w:t>. Maker shall (i) apply for or consent to the appointment of a receiver, trustee, liquidator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custodian of itself or of all or a substantial part of its property; (ii) admit in writing its inability to pay its debts generally as they mature; (iii) make a general assignment for the benefit of its or any of its creditors; (iv) be dissolved or liquidated; or (v)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both"/>
        <w:ind w:left="644" w:hanging="644"/>
        <w:spacing w:after="0" w:line="258"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Involuntary Bankruptcy or Insolvency Proceedings</w:t>
      </w:r>
      <w:r>
        <w:rPr>
          <w:rFonts w:ascii="Times New Roman" w:cs="Times New Roman" w:eastAsia="Times New Roman" w:hAnsi="Times New Roman"/>
          <w:sz w:val="18"/>
          <w:szCs w:val="18"/>
          <w:color w:val="auto"/>
        </w:rPr>
        <w:t>. Proceedings for the appointment of a receiver, trustee, liquidator or custodian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Maker or of all or a substantial part of the property thereof, or an involuntary case or other proceedings seeking liquidation, reorganization or other relief with respect to Maker or the debts thereof under any bankruptcy, insolvency or other similar law now or hereafter in effect shall be commenced and an order for relief entered or such proceeding shall not be dismissed or discharged within sixty (60) days of commencement; or</w:t>
      </w:r>
    </w:p>
    <w:p>
      <w:pPr>
        <w:spacing w:after="0" w:line="183"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Maker shall fail to perform or observe in all material respects any of its covenants or agreements in this Note or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entered into between Maker and Holder and such failure shall continue for thirty (30) days after Maker obtaining knowledge of such failure or receipt by Maker from Holder of a written notice of such failure; or</w:t>
      </w:r>
    </w:p>
    <w:p>
      <w:pPr>
        <w:spacing w:after="0" w:line="173" w:lineRule="exact"/>
        <w:rPr>
          <w:rFonts w:ascii="Times New Roman" w:cs="Times New Roman" w:eastAsia="Times New Roman" w:hAnsi="Times New Roman"/>
          <w:sz w:val="18"/>
          <w:szCs w:val="18"/>
          <w:i w:val="1"/>
          <w:iCs w:val="1"/>
          <w:color w:val="auto"/>
        </w:rPr>
      </w:pPr>
    </w:p>
    <w:p>
      <w:pPr>
        <w:ind w:left="644" w:hanging="644"/>
        <w:spacing w:after="0" w:line="284"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Cross-Default</w:t>
      </w:r>
      <w:r>
        <w:rPr>
          <w:rFonts w:ascii="Times New Roman" w:cs="Times New Roman" w:eastAsia="Times New Roman" w:hAnsi="Times New Roman"/>
          <w:sz w:val="18"/>
          <w:szCs w:val="18"/>
          <w:color w:val="auto"/>
        </w:rPr>
        <w:t>. An event of default (or any other event which with the passage of time or the giving or notice or both would become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occurs under any other indebtedness of Maker in excess of $500,000; or</w:t>
      </w:r>
    </w:p>
    <w:p>
      <w:pPr>
        <w:spacing w:after="0" w:line="158" w:lineRule="exact"/>
        <w:rPr>
          <w:rFonts w:ascii="Times New Roman" w:cs="Times New Roman" w:eastAsia="Times New Roman" w:hAnsi="Times New Roman"/>
          <w:sz w:val="18"/>
          <w:szCs w:val="18"/>
          <w:i w:val="1"/>
          <w:iCs w:val="1"/>
          <w:color w:val="auto"/>
        </w:rPr>
      </w:pPr>
    </w:p>
    <w:p>
      <w:pPr>
        <w:jc w:val="both"/>
        <w:ind w:left="644" w:right="20" w:hanging="644"/>
        <w:spacing w:after="0" w:line="284"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Repudiation of Note</w:t>
      </w:r>
      <w:r>
        <w:rPr>
          <w:rFonts w:ascii="Times New Roman" w:cs="Times New Roman" w:eastAsia="Times New Roman" w:hAnsi="Times New Roman"/>
          <w:sz w:val="18"/>
          <w:szCs w:val="18"/>
          <w:color w:val="auto"/>
        </w:rPr>
        <w:t>. Maker shall provide at any time notice to the Holder, including by way of public announcement, of the Maker’s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not honor any provision of this Note (including requests for conversions of this Note in accordance with the terms hereof); or</w:t>
      </w:r>
    </w:p>
    <w:p>
      <w:pPr>
        <w:spacing w:after="0" w:line="158"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Maker or any subsidiary thereof, by any act or failure to act, expressly indicates its consent to, approval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acquiescence in any of the actions described in any of the clauses above or takes any corporate or other action to authorize or otherwise for the purpose of effecting any such action; or</w:t>
      </w:r>
    </w:p>
    <w:p>
      <w:pPr>
        <w:spacing w:after="0" w:line="173"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Judgment</w:t>
      </w:r>
      <w:r>
        <w:rPr>
          <w:rFonts w:ascii="Times New Roman" w:cs="Times New Roman" w:eastAsia="Times New Roman" w:hAnsi="Times New Roman"/>
          <w:sz w:val="18"/>
          <w:szCs w:val="18"/>
          <w:color w:val="auto"/>
        </w:rPr>
        <w:t>. Any monetary judgment, writ or similar final process shall be entered or filed against the Maker or any of its subsidiaries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their assets in excess of $500,000 (after giving effect to any insurance coverage) and such judgment, writ or similar final process shall remain unvacated, unbonded or unstayed for a period of sixty (60) calendar days; or</w:t>
      </w:r>
    </w:p>
    <w:p>
      <w:pPr>
        <w:spacing w:after="0" w:line="173"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Levy or Lien</w:t>
      </w:r>
      <w:r>
        <w:rPr>
          <w:rFonts w:ascii="Times New Roman" w:cs="Times New Roman" w:eastAsia="Times New Roman" w:hAnsi="Times New Roman"/>
          <w:sz w:val="18"/>
          <w:szCs w:val="18"/>
          <w:color w:val="auto"/>
        </w:rPr>
        <w:t>. The occurrence of any levy upon or seizure or attachment of or lien upon assets of the Maker or any subsidiary thereof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$500,000 and any such levy, seizure or attachment shall not be set aside, bonded or discharged within thirty (30) days after the date thereof;</w:t>
      </w:r>
    </w:p>
    <w:p>
      <w:pPr>
        <w:spacing w:after="0" w:line="173" w:lineRule="exact"/>
        <w:rPr>
          <w:rFonts w:ascii="Times New Roman" w:cs="Times New Roman" w:eastAsia="Times New Roman" w:hAnsi="Times New Roman"/>
          <w:sz w:val="18"/>
          <w:szCs w:val="18"/>
          <w:i w:val="1"/>
          <w:iCs w:val="1"/>
          <w:color w:val="auto"/>
        </w:rPr>
      </w:pPr>
    </w:p>
    <w:p>
      <w:pPr>
        <w:ind w:left="644" w:hanging="644"/>
        <w:spacing w:after="0"/>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Breach of Representations</w:t>
      </w:r>
      <w:r>
        <w:rPr>
          <w:rFonts w:ascii="Times New Roman" w:cs="Times New Roman" w:eastAsia="Times New Roman" w:hAnsi="Times New Roman"/>
          <w:sz w:val="18"/>
          <w:szCs w:val="18"/>
          <w:color w:val="auto"/>
        </w:rPr>
        <w:t>. The Maker shall have breached any representation or warranty contained in this Note in any material respect.</w:t>
      </w:r>
    </w:p>
    <w:p>
      <w:pPr>
        <w:spacing w:after="0" w:line="225" w:lineRule="exact"/>
        <w:rPr>
          <w:rFonts w:ascii="Times New Roman" w:cs="Times New Roman" w:eastAsia="Times New Roman" w:hAnsi="Times New Roman"/>
          <w:sz w:val="18"/>
          <w:szCs w:val="18"/>
          <w:i w:val="1"/>
          <w:iCs w:val="1"/>
          <w:color w:val="auto"/>
        </w:rPr>
      </w:pPr>
    </w:p>
    <w:p>
      <w:pPr>
        <w:ind w:left="644" w:hanging="644"/>
        <w:spacing w:after="0" w:line="284" w:lineRule="auto"/>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Principal Market</w:t>
      </w:r>
      <w:r>
        <w:rPr>
          <w:rFonts w:ascii="Times New Roman" w:cs="Times New Roman" w:eastAsia="Times New Roman" w:hAnsi="Times New Roman"/>
          <w:sz w:val="18"/>
          <w:szCs w:val="18"/>
          <w:color w:val="auto"/>
        </w:rPr>
        <w:t>. The suspension from trading or the failure of the Common Stock to be trading or listed (as applicable) on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for any period of time.</w:t>
      </w:r>
    </w:p>
    <w:p>
      <w:pPr>
        <w:spacing w:after="0" w:line="158" w:lineRule="exact"/>
        <w:rPr>
          <w:rFonts w:ascii="Times New Roman" w:cs="Times New Roman" w:eastAsia="Times New Roman" w:hAnsi="Times New Roman"/>
          <w:sz w:val="18"/>
          <w:szCs w:val="18"/>
          <w:i w:val="1"/>
          <w:iCs w:val="1"/>
          <w:color w:val="auto"/>
        </w:rPr>
      </w:pPr>
    </w:p>
    <w:p>
      <w:pPr>
        <w:ind w:left="644" w:hanging="644"/>
        <w:spacing w:after="0"/>
        <w:tabs>
          <w:tab w:leader="none" w:pos="64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Any Material Adverse Effect (as defined in the Securities Purchase Agreement) occurs.</w:t>
      </w:r>
    </w:p>
    <w:p>
      <w:pPr>
        <w:spacing w:after="0" w:line="22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45" w:name="page46"/>
    <w:bookmarkEnd w:id="45"/>
    <w:p>
      <w:pPr>
        <w:jc w:val="both"/>
        <w:ind w:left="1300" w:hanging="644"/>
        <w:spacing w:after="0" w:line="267" w:lineRule="auto"/>
        <w:tabs>
          <w:tab w:leader="none" w:pos="1300"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Restrictive Legend. </w:t>
      </w:r>
      <w:r>
        <w:rPr>
          <w:rFonts w:ascii="Times New Roman" w:cs="Times New Roman" w:eastAsia="Times New Roman" w:hAnsi="Times New Roman"/>
          <w:sz w:val="18"/>
          <w:szCs w:val="18"/>
          <w:color w:val="auto"/>
        </w:rPr>
        <w:t>The Maker fails to remove any restrictive legend on any certificate or any shares of Common Stock issued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upon conversion of this Note as and when required by this Note or the Securities Purchase Agreement, unless otherwise then prohibited by applicable federal securities laws, and any such failure remains uncured for at least five (5) Trading Days.</w:t>
      </w:r>
    </w:p>
    <w:p>
      <w:pPr>
        <w:spacing w:after="0" w:line="173"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Voluntary Delisting. </w:t>
      </w:r>
      <w:r>
        <w:rPr>
          <w:rFonts w:ascii="Times New Roman" w:cs="Times New Roman" w:eastAsia="Times New Roman" w:hAnsi="Times New Roman"/>
          <w:sz w:val="18"/>
          <w:szCs w:val="18"/>
          <w:color w:val="auto"/>
        </w:rPr>
        <w:t>The voluntary delisting of the Common Stock from the Principal Market by the Company.</w:t>
      </w:r>
    </w:p>
    <w:p>
      <w:pPr>
        <w:spacing w:after="0" w:line="227" w:lineRule="exact"/>
        <w:rPr>
          <w:rFonts w:ascii="Times New Roman" w:cs="Times New Roman" w:eastAsia="Times New Roman" w:hAnsi="Times New Roman"/>
          <w:sz w:val="18"/>
          <w:szCs w:val="18"/>
          <w:i w:val="1"/>
          <w:iCs w:val="1"/>
          <w:color w:val="auto"/>
        </w:rPr>
      </w:pPr>
    </w:p>
    <w:p>
      <w:pPr>
        <w:jc w:val="both"/>
        <w:ind w:firstLine="8"/>
        <w:spacing w:after="0" w:line="254"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Holder upon Default</w:t>
      </w:r>
      <w:r>
        <w:rPr>
          <w:rFonts w:ascii="Times New Roman" w:cs="Times New Roman" w:eastAsia="Times New Roman" w:hAnsi="Times New Roman"/>
          <w:sz w:val="18"/>
          <w:szCs w:val="18"/>
          <w:color w:val="auto"/>
        </w:rPr>
        <w:t>. Upon the occurrence or existence of any Event of Default (other than an Event of Default described in Sections 5(b) or 5(c)) and at any time thereafter during the continuance of such Event of Default, all outstanding Note Obligations payable by Maker hereunder shall become immediately due and payable upon election of the Holder without presentment, demand, protest or any other notice of any kind, all of which are hereby expressly waived. Upon the occurrence or existence of any Event of Default described in Sections 5(b) and 5(c), immediately and without notice, all outstanding Note Obligations payable by Maker hereunder shall automatically become immediately due and payable, without presentment, demand, protest or any other notice of any kind, all of which are hereby expressly waived. In addition to the foregoing remedies, upon the occurrence or existence of any Event of Default, Holder may exercise any other right power or remedy granted to it by this Note or otherwise permitted to it by applicable law, either by suit in equity or by action at law, or both.</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The Maker shall pay to the Holder the outstanding Principal Amount, plus all accrued but unpaid interest thereon,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Date.</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43"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Cap</w:t>
      </w:r>
      <w:r>
        <w:rPr>
          <w:rFonts w:ascii="Times New Roman" w:cs="Times New Roman" w:eastAsia="Times New Roman" w:hAnsi="Times New Roman"/>
          <w:sz w:val="18"/>
          <w:szCs w:val="18"/>
          <w:color w:val="auto"/>
        </w:rPr>
        <w:t>. Notwithstanding anything to the contrary contained herein, the Holder shall not be entitled to receive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upon conversion of this Note to the extent (but only to the extent) that such exercise or receipt would cause the Holder Group (as defined below) to become, directly or indirectly, a “beneficial owner” (within the meaning of Section 13(d) of the Exchange Act and the rules and regulations promulgated thereunder) of a number of shares of Common Stock which exceeds the Maximum Percentage (as defined below) of the shares of Common Stock that are outstanding at such time. Any purported delivery of shares of Common Stock in connection with the conversion of this Note prior to the termination of this restriction in accordance herewith shall be void and have no effect to the extent (but only to the extent) that such delivery would result in the Holder Group becoming the beneficial owner of more than the Maximum Percentage of shares of Common Stock that are outstanding at such time. If any delivery of Common Stock owed to the Holder following conversion of this Note is not made, in whole or in part, as a result of this limitation, the Company’s obligation to make such delivery shall not be extinguished and the Company shall deliver shares of Common Stock as promptly as practicable after the Holder gives notice to the Company that such delivery would not result in such limitation being triggered or upon termination of the restriction in accordance with the terms hereof. To the extent limitations contained in this Section 7(b) apply, the determination of whether this Note is convertible and of which portion of this Note is convertible shall be the sole responsibility and in the sole determination of the Holder, and the submission of a notice of conversion shall be deemed to constitute the Holder’s determination that the issuance of the full number of Conversion Shares requested in the notice of conversion is permitted hereunder, and the Company shall be entitled to rely on the representations and other information set forth in any Conversion Notice and shall not have any obligation to verify or confirm the accuracy of such determination. For purposes of this Section 7(b), (i) the term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shall mean 4.99%; (ii) upon delivery of a written notice to the Company, the Holder may from time to time increase (with such increase not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any such increase in the Maximum Percentage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(iii) the term “</w:t>
      </w:r>
      <w:r>
        <w:rPr>
          <w:rFonts w:ascii="Times New Roman" w:cs="Times New Roman" w:eastAsia="Times New Roman" w:hAnsi="Times New Roman"/>
          <w:sz w:val="18"/>
          <w:szCs w:val="18"/>
          <w:b w:val="1"/>
          <w:bCs w:val="1"/>
          <w:i w:val="1"/>
          <w:iCs w:val="1"/>
          <w:color w:val="auto"/>
        </w:rPr>
        <w:t>Holder Group</w:t>
      </w:r>
      <w:r>
        <w:rPr>
          <w:rFonts w:ascii="Times New Roman" w:cs="Times New Roman" w:eastAsia="Times New Roman" w:hAnsi="Times New Roman"/>
          <w:sz w:val="18"/>
          <w:szCs w:val="18"/>
          <w:color w:val="auto"/>
        </w:rPr>
        <w:t>” shall mean the Holder plus any other Person with which the Holder is considered to be part of a group under Section 13 of the Exchange Act or with which the Holder otherwise files reports under Sections 13 and/or 16 of the Exchange Act. In determining the number of shares of Common Stock outstanding at any point in time, the Holder may rely on the number of outstanding shares of Common Stock as reflected in (x) the Company’s most recent annual or quarterly reports filed with the Securities and Exchange Commission, as the case may be, (y) a more recent public announcement by the Company or (z) a more recent notice by the Company or its transfer agent to the Holder setting forth the number of shares of Common Stock then outstanding. For any reason at any time, upon written or oral request of the Holder, the Company shall, within one</w:t>
      </w:r>
    </w:p>
    <w:p>
      <w:pPr>
        <w:spacing w:after="0" w:line="18"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Business Day of such request, confirm orally and in writing to the Holder the number of shares of Common Stock then outstanding. The provisions of this Section 7(b) shall be construed, corrected and implemented in a manner so as to effectuate the intended beneficial ownership limitation herein contained.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6" w:name="page47"/>
    <w:bookmarkEnd w:id="46"/>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1"/>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Automatic Conversion. </w:t>
      </w:r>
      <w:r>
        <w:rPr>
          <w:rFonts w:ascii="Times New Roman" w:cs="Times New Roman" w:eastAsia="Times New Roman" w:hAnsi="Times New Roman"/>
          <w:sz w:val="18"/>
          <w:szCs w:val="18"/>
          <w:color w:val="auto"/>
        </w:rPr>
        <w:t>Upon a Qualified Offering, the lesser of (i) outstanding Principal Amount and all interest accrued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outstanding portion of the Principal Amount, and (ii) the portion of the Principal Amount and all interest accrued with respect to such outstanding portion of the Principal Amount that will result in the Holder holding the Maximum Percentage upon the automatic conversion contemplated hereby, will automatically be converted into that number of shares of Common Stock equal to the quotient of (I) the portion of the Principal Amount and all interest accrued with respect to such outstanding portion of the Principal Amount (the “</w:t>
      </w:r>
      <w:r>
        <w:rPr>
          <w:rFonts w:ascii="Times New Roman" w:cs="Times New Roman" w:eastAsia="Times New Roman" w:hAnsi="Times New Roman"/>
          <w:sz w:val="18"/>
          <w:szCs w:val="18"/>
          <w:b w:val="1"/>
          <w:bCs w:val="1"/>
          <w:i w:val="1"/>
          <w:iCs w:val="1"/>
          <w:color w:val="auto"/>
        </w:rPr>
        <w:t>Holder Mandatory Conversion Amount</w:t>
      </w:r>
      <w:r>
        <w:rPr>
          <w:rFonts w:ascii="Times New Roman" w:cs="Times New Roman" w:eastAsia="Times New Roman" w:hAnsi="Times New Roman"/>
          <w:sz w:val="18"/>
          <w:szCs w:val="18"/>
          <w:color w:val="auto"/>
        </w:rPr>
        <w:t>”) divided by (II) the Conversion Price.</w:t>
      </w:r>
    </w:p>
    <w:p>
      <w:pPr>
        <w:spacing w:after="0" w:line="182" w:lineRule="exact"/>
        <w:rPr>
          <w:rFonts w:ascii="Times New Roman" w:cs="Times New Roman" w:eastAsia="Times New Roman" w:hAnsi="Times New Roman"/>
          <w:sz w:val="18"/>
          <w:szCs w:val="18"/>
          <w:i w:val="1"/>
          <w:iCs w:val="1"/>
          <w:color w:val="auto"/>
        </w:rPr>
      </w:pPr>
    </w:p>
    <w:p>
      <w:pPr>
        <w:jc w:val="both"/>
        <w:ind w:left="1300" w:hanging="644"/>
        <w:spacing w:after="0" w:line="256" w:lineRule="auto"/>
        <w:tabs>
          <w:tab w:leader="none" w:pos="1300" w:val="left"/>
        </w:tabs>
        <w:numPr>
          <w:ilvl w:val="1"/>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Optional Conversion</w:t>
      </w:r>
      <w:r>
        <w:rPr>
          <w:rFonts w:ascii="Times New Roman" w:cs="Times New Roman" w:eastAsia="Times New Roman" w:hAnsi="Times New Roman"/>
          <w:sz w:val="18"/>
          <w:szCs w:val="18"/>
          <w:color w:val="auto"/>
        </w:rPr>
        <w:t>. At any time following the earlier of (i) the date that is six (6) months after the Issuance Date and (ii) the date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any Event of Default occurs, Holder, in its sole discretion, may elect to have all or any portion of the outstanding Principal Amount and all interest accrued with respect to such outstanding portion of the Principal Amount through the date that the Holder notifies in writing Maker of its intent to convert pursuant to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(such Principal Amount and accrued interest,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Optional Conversion Amount</w:t>
      </w:r>
      <w:r>
        <w:rPr>
          <w:rFonts w:ascii="Times New Roman" w:cs="Times New Roman" w:eastAsia="Times New Roman" w:hAnsi="Times New Roman"/>
          <w:sz w:val="18"/>
          <w:szCs w:val="18"/>
          <w:color w:val="auto"/>
        </w:rPr>
        <w:t>”) converted into that number of shares of Common Stock equal to the quotient of (a) the Holder Optional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Amount divided by (b) the Conversion Price (the “</w:t>
      </w:r>
      <w:r>
        <w:rPr>
          <w:rFonts w:ascii="Times New Roman" w:cs="Times New Roman" w:eastAsia="Times New Roman" w:hAnsi="Times New Roman"/>
          <w:sz w:val="18"/>
          <w:szCs w:val="18"/>
          <w:b w:val="1"/>
          <w:bCs w:val="1"/>
          <w:i w:val="1"/>
          <w:iCs w:val="1"/>
          <w:color w:val="auto"/>
        </w:rPr>
        <w:t>Holder’s Conversion Rights</w:t>
      </w:r>
      <w:r>
        <w:rPr>
          <w:rFonts w:ascii="Times New Roman" w:cs="Times New Roman" w:eastAsia="Times New Roman" w:hAnsi="Times New Roman"/>
          <w:sz w:val="18"/>
          <w:szCs w:val="18"/>
          <w:color w:val="auto"/>
        </w:rPr>
        <w:t>”). Notwithstanding the foregoing, upon written notice by Holder of the intent to convert, Maker may instead elect to pay all of the Note Obligations in full.</w:t>
      </w:r>
    </w:p>
    <w:p>
      <w:pPr>
        <w:spacing w:after="0" w:line="182" w:lineRule="exact"/>
        <w:rPr>
          <w:rFonts w:ascii="Times New Roman" w:cs="Times New Roman" w:eastAsia="Times New Roman" w:hAnsi="Times New Roman"/>
          <w:sz w:val="18"/>
          <w:szCs w:val="18"/>
          <w:i w:val="1"/>
          <w:iCs w:val="1"/>
          <w:color w:val="auto"/>
        </w:rPr>
      </w:pPr>
    </w:p>
    <w:p>
      <w:pPr>
        <w:jc w:val="both"/>
        <w:ind w:left="1300" w:hanging="644"/>
        <w:spacing w:after="0" w:line="257" w:lineRule="auto"/>
        <w:tabs>
          <w:tab w:leader="none" w:pos="1300" w:val="left"/>
        </w:tabs>
        <w:numPr>
          <w:ilvl w:val="1"/>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Surrender of Note</w:t>
      </w:r>
      <w:r>
        <w:rPr>
          <w:rFonts w:ascii="Times New Roman" w:cs="Times New Roman" w:eastAsia="Times New Roman" w:hAnsi="Times New Roman"/>
          <w:sz w:val="18"/>
          <w:szCs w:val="18"/>
          <w:color w:val="auto"/>
        </w:rPr>
        <w:t>. Promptly after a conversion of all amounts due under this Note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but in no event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five (5) Business Days thereafter, Holder shall deliver the original of this Note (or a notice to the effect that the original Note has been lost, stolen or destroyed and an agreement acceptable to Maker whereby the Holder agrees to indemnify Maker from any loss incurred by it in connection with this Note arising out of any claims that the original Note was not lost, stolen or destroyed);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upon Maker’s issuance of all amounts and/or shares of Common Stock required under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this Note shall be deemed converted and of no further force and effect, whether or not it is delivered for cancellation as set forth in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i w:val="1"/>
          <w:iCs w:val="1"/>
          <w:color w:val="auto"/>
        </w:rPr>
      </w:pPr>
    </w:p>
    <w:p>
      <w:pPr>
        <w:jc w:val="both"/>
        <w:ind w:left="1300" w:hanging="644"/>
        <w:spacing w:after="0" w:line="254" w:lineRule="auto"/>
        <w:tabs>
          <w:tab w:leader="none" w:pos="1300" w:val="left"/>
        </w:tabs>
        <w:numPr>
          <w:ilvl w:val="1"/>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Reservation of Common Stock</w:t>
      </w:r>
      <w:r>
        <w:rPr>
          <w:rFonts w:ascii="Times New Roman" w:cs="Times New Roman" w:eastAsia="Times New Roman" w:hAnsi="Times New Roman"/>
          <w:sz w:val="18"/>
          <w:szCs w:val="18"/>
          <w:color w:val="auto"/>
        </w:rPr>
        <w:t>. Maker covenants that all of the shares of Common Stock that shall be so issued shall be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conversion and issuance, duly authorized, validly issued, fully paid, and non-assessable by Maker, not subject to any preemptive rights, and free from any taxes, liens, and charges with respect to the issue thereof. Maker has not reserved for issuance from its duly authorized capital stock the maximum number of shares of Common Stock issuable upon conversion of this Note. Maker shall, as soon as practicable, reserve at least 100% of the number of shares of Common Stock as shall from time to time be necessary to effect the conversion of all of the Notes then outstanding (without regard to any limitations on conversions and assuming such Notes remain outstanding until the Maturity Date) at the Conversion Price then in effect (the “</w:t>
      </w:r>
      <w:r>
        <w:rPr>
          <w:rFonts w:ascii="Times New Roman" w:cs="Times New Roman" w:eastAsia="Times New Roman" w:hAnsi="Times New Roman"/>
          <w:sz w:val="18"/>
          <w:szCs w:val="18"/>
          <w:b w:val="1"/>
          <w:bCs w:val="1"/>
          <w:i w:val="1"/>
          <w:iCs w:val="1"/>
          <w:color w:val="auto"/>
        </w:rPr>
        <w:t>Required Reserve Amount</w:t>
      </w:r>
      <w:r>
        <w:rPr>
          <w:rFonts w:ascii="Times New Roman" w:cs="Times New Roman" w:eastAsia="Times New Roman" w:hAnsi="Times New Roman"/>
          <w:sz w:val="18"/>
          <w:szCs w:val="18"/>
          <w:color w:val="auto"/>
        </w:rPr>
        <w:t>”). Maker shall take all such action as may be necessary to ensure that all such shares of Common Stock may be so issued without violation of any applicable law or regulation.</w:t>
      </w:r>
    </w:p>
    <w:p>
      <w:pPr>
        <w:spacing w:after="0" w:line="188"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1"/>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Fractional Securities</w:t>
      </w:r>
      <w:r>
        <w:rPr>
          <w:rFonts w:ascii="Times New Roman" w:cs="Times New Roman" w:eastAsia="Times New Roman" w:hAnsi="Times New Roman"/>
          <w:sz w:val="18"/>
          <w:szCs w:val="18"/>
          <w:color w:val="auto"/>
        </w:rPr>
        <w:t>. No fractional shares of Common Stock shall be issued upon conversion of this Note. In lieu of Maker issuing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fractional shares of Common Stock to Holder upon the conversion of this Note, Maker shall round up to the nearest whole share.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left="644" w:hanging="644"/>
        <w:spacing w:after="0" w:line="258" w:lineRule="auto"/>
        <w:tabs>
          <w:tab w:leader="none" w:pos="644"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Taxes and Fees</w:t>
      </w:r>
      <w:r>
        <w:rPr>
          <w:rFonts w:ascii="Times New Roman" w:cs="Times New Roman" w:eastAsia="Times New Roman" w:hAnsi="Times New Roman"/>
          <w:sz w:val="18"/>
          <w:szCs w:val="18"/>
          <w:color w:val="auto"/>
        </w:rPr>
        <w:t>. The issuance of shares of Common Stock upon conversion of all or any portion of the outstanding Note Obligations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made without charge to Holder for any issuance tax in respect thereof. The Maker shall pay any and all transfer, stamp, issuance and similar taxes, costs and expenses (including, without limitation, fees and expenses of the Maker’s transfer agent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that may be payable with respect to the issuance and delivery of shares of Common Stock upon conversion of any Holder Mandatory Conversion Amount or Holder Optional Conversion Amount (each a “</w:t>
      </w:r>
      <w:r>
        <w:rPr>
          <w:rFonts w:ascii="Times New Roman" w:cs="Times New Roman" w:eastAsia="Times New Roman" w:hAnsi="Times New Roman"/>
          <w:sz w:val="18"/>
          <w:szCs w:val="18"/>
          <w:b w:val="1"/>
          <w:bCs w:val="1"/>
          <w:i w:val="1"/>
          <w:iCs w:val="1"/>
          <w:color w:val="auto"/>
        </w:rPr>
        <w:t>Conversion Amount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i w:val="1"/>
          <w:iCs w:val="1"/>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Mechanics of Conversion.</w:t>
      </w:r>
    </w:p>
    <w:p>
      <w:pPr>
        <w:spacing w:after="0" w:line="223" w:lineRule="exact"/>
        <w:rPr>
          <w:rFonts w:ascii="Times New Roman" w:cs="Times New Roman" w:eastAsia="Times New Roman" w:hAnsi="Times New Roman"/>
          <w:sz w:val="18"/>
          <w:szCs w:val="18"/>
          <w:i w:val="1"/>
          <w:iCs w:val="1"/>
          <w:color w:val="auto"/>
        </w:rPr>
      </w:pPr>
    </w:p>
    <w:p>
      <w:pPr>
        <w:jc w:val="both"/>
        <w:ind w:left="644"/>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 </w:t>
      </w:r>
      <w:r>
        <w:rPr>
          <w:rFonts w:ascii="Times New Roman" w:cs="Times New Roman" w:eastAsia="Times New Roman" w:hAnsi="Times New Roman"/>
          <w:sz w:val="18"/>
          <w:szCs w:val="18"/>
          <w:color w:val="auto"/>
        </w:rPr>
        <w:t>To convert any Conversion Amount into shares of Common Stock under Section 8(b) on any date (a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Conversion Notice</w:t>
      </w:r>
      <w:r>
        <w:rPr>
          <w:rFonts w:ascii="Times New Roman" w:cs="Times New Roman" w:eastAsia="Times New Roman" w:hAnsi="Times New Roman"/>
          <w:sz w:val="18"/>
          <w:szCs w:val="18"/>
          <w:color w:val="auto"/>
        </w:rPr>
        <w:t xml:space="preserve">”) to the Maker. If required by Section 8(g)(iii), within two (2) Trading Days following a conversion of this Note as aforesaid, the Holder shall surrender this Note to a nationally recognized overnight delivery service for delivery to the Maker. On or before the first (1st) Trading Day following the date of receipt of a Conversion Notice, the Maker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and representation as to whether such shares of Common Stock may then be resold pursuant to Rule 144 or an effective and available registration statement (each, an “</w:t>
      </w:r>
      <w:r>
        <w:rPr>
          <w:rFonts w:ascii="Times New Roman" w:cs="Times New Roman" w:eastAsia="Times New Roman" w:hAnsi="Times New Roman"/>
          <w:sz w:val="18"/>
          <w:szCs w:val="18"/>
          <w:b w:val="1"/>
          <w:bCs w:val="1"/>
          <w:i w:val="1"/>
          <w:iCs w:val="1"/>
          <w:color w:val="auto"/>
        </w:rPr>
        <w:t>Acknowledgement</w:t>
      </w:r>
      <w:r>
        <w:rPr>
          <w:rFonts w:ascii="Times New Roman" w:cs="Times New Roman" w:eastAsia="Times New Roman" w:hAnsi="Times New Roman"/>
          <w:sz w:val="18"/>
          <w:szCs w:val="18"/>
          <w:color w:val="auto"/>
        </w:rPr>
        <w:t>”) to the Holder and the Transfer Agent which confirmation shall constitute an instruction to the Transfer Agent to process such Conversion Notice in accordance with the terms herein. On or before the first (1st) Trading Day following the date on which the Maker has received a Conversion Notice (or such earlier date as required pursuant to the Exchange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i w:val="1"/>
          <w:i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color w:val="auto"/>
        </w:rPr>
        <w:t>”), the Maker shall (1) provided that the Transfer Agent is participating in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Fast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Securities Transfer Program (“</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8(g)(iii) and the outstanding Principal Amount and all interest accrued with respect to such outstanding portion of the Principal Amount is greater than the Conversion Amount being converted, then the Maker shall as soon as practicable and in no event later than three (3) Business Days after receipt of this Note and at its own expense, issue and deliver to the Holder (or its designee) a new Note representing the outstanding Principal Amount of this Note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Securities Purchase Agreement, after the effective date of the Resale Registration Statement or the Qualified Offering Registration Statement, as applicable, the Maker shall cause the Transfer Agent to deliver unlegended shares of Common Stock to the Holder (or its designee) in connection with any sale of Registrable Shares (as defined in Section 10.1) with respect to which the Holder has entered into a contract for sale, and delivered a copy of the prospectus included as part of the particular Resale Registration Statement or the Qualified Offering Registration Statement to the extent applicable, and for which the Holder has not yet settled.</w:t>
      </w: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48" w:name="page49"/>
    <w:bookmarkEnd w:id="48"/>
    <w:p>
      <w:pPr>
        <w:jc w:val="both"/>
        <w:ind w:left="180" w:firstLine="4"/>
        <w:spacing w:after="0" w:line="251" w:lineRule="auto"/>
        <w:tabs>
          <w:tab w:leader="none" w:pos="458"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Maker’s Failure to Timely Convert</w:t>
      </w:r>
      <w:r>
        <w:rPr>
          <w:rFonts w:ascii="Times New Roman" w:cs="Times New Roman" w:eastAsia="Times New Roman" w:hAnsi="Times New Roman"/>
          <w:sz w:val="18"/>
          <w:szCs w:val="18"/>
          <w:color w:val="auto"/>
        </w:rPr>
        <w:t>. If the Maker shall fail, on or prior to the applicable Share Delivery Deadline, either (I) if the Transfer Agent is not participating in FAST, to issue and deliver to the Holder (or its designee) a certificate for the number of shares of Common Stock to which the Holder is entitled and register such shares of Common Stock on the Maker’s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 w:cs="Times New Roman" w:eastAsia="Times New Roman" w:hAnsi="Times New Roman"/>
          <w:sz w:val="18"/>
          <w:szCs w:val="18"/>
          <w:b w:val="1"/>
          <w:bCs w:val="1"/>
          <w:i w:val="1"/>
          <w:iCs w:val="1"/>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Maker fails to use commercially reasonable efforts to promptly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to as a “</w:t>
      </w:r>
      <w:r>
        <w:rPr>
          <w:rFonts w:ascii="Times New Roman" w:cs="Times New Roman" w:eastAsia="Times New Roman" w:hAnsi="Times New Roman"/>
          <w:sz w:val="18"/>
          <w:szCs w:val="18"/>
          <w:b w:val="1"/>
          <w:bCs w:val="1"/>
          <w:i w:val="1"/>
          <w:i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i w:val="1"/>
          <w:iCs w:val="1"/>
          <w:color w:val="auto"/>
        </w:rPr>
        <w:t>Conversion Failure</w:t>
      </w:r>
      <w:r>
        <w:rPr>
          <w:rFonts w:ascii="Times New Roman" w:cs="Times New Roman" w:eastAsia="Times New Roman" w:hAnsi="Times New Roman"/>
          <w:sz w:val="18"/>
          <w:szCs w:val="18"/>
          <w:color w:val="auto"/>
        </w:rPr>
        <w:t>”), then, provided such failure involves shares of Common Stock having an aggregate value of at least $10,000 based on the closing trade price of the Common Stock, as reported by Bloomberg, on the applicable Share Delivery Deadline, in addition to all other remedies available to the Holder, (1) the Maker shall pay in cash to the Holder monthly an amount equal to 2% per month of the product of (A) the sum of the number of shares of Common Stock not issued to the Holder on or prior to the Share Delivery Deadline and to which the Holder is entitled, multiplied by (B) any trading price of the shares of Common Stock selected by the Holder in writing as in effect at any time during the period beginning on the applicable Conversion Date and ending on the applicable Share Delivery Deadline, provided that the total amount of all such payments shall not exceed 10% of the aggregate value of the shares of Common Stock subject to such Conversion Failure, and (2) the Holder, upon written notice to the Maker, may void its Conversion Notice with respect to, and retain or have returned (as the case may be) any portion of this Note that has not been converted pursuant to such Conversion Notice, provided that the voiding of a Conversion Notice shall not affect the Maker’s obligations to make any payments which have accrued prior to the date of such notice pursuant to this Section 8(g)(ii) or otherwise. Nothing shall limit the Holder’s right to pursue any other remedies available to it hereunder, at law or in equity, including, without limitation, a decree of specific performance and/or injunctive relief with respect to the Maker’s failure to timely deliver certificates representing shares of Common Stock (or to electronically deliver such shares of Common Stock) upon the conversion of this Note as required pursuant to the terms hereof.</w:t>
      </w:r>
    </w:p>
    <w:p>
      <w:pPr>
        <w:spacing w:after="0" w:line="199" w:lineRule="exact"/>
        <w:rPr>
          <w:rFonts w:ascii="Times New Roman" w:cs="Times New Roman" w:eastAsia="Times New Roman" w:hAnsi="Times New Roman"/>
          <w:sz w:val="18"/>
          <w:szCs w:val="18"/>
          <w:i w:val="1"/>
          <w:iCs w:val="1"/>
          <w:color w:val="auto"/>
        </w:rPr>
      </w:pPr>
    </w:p>
    <w:p>
      <w:pPr>
        <w:jc w:val="both"/>
        <w:ind w:left="180" w:firstLine="4"/>
        <w:spacing w:after="0" w:line="252" w:lineRule="auto"/>
        <w:tabs>
          <w:tab w:leader="none" w:pos="49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Maker shall maintain a register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i w:val="1"/>
          <w:iCs w:val="1"/>
          <w:color w:val="auto"/>
        </w:rPr>
        <w:t>Registered Notes</w:t>
      </w:r>
      <w:r>
        <w:rPr>
          <w:rFonts w:ascii="Times New Roman" w:cs="Times New Roman" w:eastAsia="Times New Roman" w:hAnsi="Times New Roman"/>
          <w:sz w:val="18"/>
          <w:szCs w:val="18"/>
          <w:color w:val="auto"/>
        </w:rPr>
        <w:t>”). The Maker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Maker shall record the information contained therein in the Register and issue one or more new Registered Notes in the same aggregate principal amount as the principal amount of the surrendered Registered Note to the designated assignee or transferee, provided that if the Maker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8, following conversion of any portion of this Note in accordance with the terms hereof, the Holder shall not be required to physically surrender this Note to the Maker unless (A) the full outstanding Principal Amount and all interest accrued with respect to such outstanding portion of the Principal Amount represented by this Note is being converted (in which event this Note shall be delivered to the Maker following conversion thereof as contemplated by Section 8(g)(i)), or</w:t>
      </w:r>
    </w:p>
    <w:p>
      <w:pPr>
        <w:spacing w:after="0" w:line="3" w:lineRule="exact"/>
        <w:rPr>
          <w:rFonts w:ascii="Times New Roman" w:cs="Times New Roman" w:eastAsia="Times New Roman" w:hAnsi="Times New Roman"/>
          <w:sz w:val="18"/>
          <w:szCs w:val="18"/>
          <w:i w:val="1"/>
          <w:iCs w:val="1"/>
          <w:color w:val="auto"/>
        </w:rPr>
      </w:pPr>
    </w:p>
    <w:p>
      <w:pPr>
        <w:jc w:val="both"/>
        <w:ind w:left="18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 the Holder has provided the Maker with prior written notice (which notice may be included in a Conversion Notice) requesting reissuance of this Note upon physical surrender of this Note. The Holder and the Maker shall maintain records showing the outstanding Principal Amount, accrued interest, default interest, and late charges converted and/or paid (as the case may be) and the dates of such conversions and/or payments (as the case may be) or shall use such other method, reasonably satisfactory to the Holder and the Maker, so as not to require physical surrender of this Note upon conversion. If the Maker does not update the Register to record such outstanding Principal Amount, accrued interest, default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9" w:name="page50"/>
    <w:bookmarkEnd w:id="49"/>
    <w:p>
      <w:pPr>
        <w:jc w:val="both"/>
        <w:ind w:left="180" w:firstLine="4"/>
        <w:spacing w:after="0" w:line="254" w:lineRule="auto"/>
        <w:tabs>
          <w:tab w:leader="none" w:pos="501"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If the Maker receives a Conversion Notice from more than one holder of Notes for the same Conversion Date and the Maker can convert some, but not all, of such portions of the Notes submitted for conversion, the Maker, subject to Section 7(b),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If a Conversion Notice delivered to the Maker would result in a breach of Section 7(b), and the Holder does not elect in writing to withdraw, in whole, such Conversion Notice, the Maker shall hold such Conversion Notice in abeyance until such time as such Conversion Notice may be satisfied without violating Section 7(b) (with such calculations thereunder made as of the date such Conversion Notice was initially delivered to the Maker).</w:t>
      </w:r>
    </w:p>
    <w:p>
      <w:pPr>
        <w:spacing w:after="0" w:line="188" w:lineRule="exact"/>
        <w:rPr>
          <w:rFonts w:ascii="Times New Roman" w:cs="Times New Roman" w:eastAsia="Times New Roman" w:hAnsi="Times New Roman"/>
          <w:sz w:val="18"/>
          <w:szCs w:val="18"/>
          <w:i w:val="1"/>
          <w:iCs w:val="1"/>
          <w:color w:val="auto"/>
        </w:rPr>
      </w:pPr>
    </w:p>
    <w:p>
      <w:pPr>
        <w:ind w:left="180" w:right="20" w:firstLine="4"/>
        <w:spacing w:after="0" w:line="282" w:lineRule="auto"/>
        <w:tabs>
          <w:tab w:leader="none" w:pos="424"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Floor Price Conversion Date True-up</w:t>
      </w:r>
      <w:r>
        <w:rPr>
          <w:rFonts w:ascii="Times New Roman" w:cs="Times New Roman" w:eastAsia="Times New Roman" w:hAnsi="Times New Roman"/>
          <w:sz w:val="18"/>
          <w:szCs w:val="18"/>
          <w:color w:val="auto"/>
        </w:rPr>
        <w:t>. If, on any Conversion Date, the Conversion Price applicable to such conversion would, but for the application of the Floor Price, be less than the Floor Price (such price, the “</w:t>
      </w:r>
      <w:r>
        <w:rPr>
          <w:rFonts w:ascii="Times New Roman" w:cs="Times New Roman" w:eastAsia="Times New Roman" w:hAnsi="Times New Roman"/>
          <w:sz w:val="18"/>
          <w:szCs w:val="18"/>
          <w:b w:val="1"/>
          <w:bCs w:val="1"/>
          <w:i w:val="1"/>
          <w:iCs w:val="1"/>
          <w:color w:val="auto"/>
        </w:rPr>
        <w:t>Unrestricted Conversion Price</w:t>
      </w:r>
      <w:r>
        <w:rPr>
          <w:rFonts w:ascii="Times New Roman" w:cs="Times New Roman" w:eastAsia="Times New Roman" w:hAnsi="Times New Roman"/>
          <w:sz w:val="18"/>
          <w:szCs w:val="18"/>
          <w:color w:val="auto"/>
        </w:rPr>
        <w:t>”), then:</w:t>
      </w:r>
    </w:p>
    <w:p>
      <w:pPr>
        <w:spacing w:after="0" w:line="161" w:lineRule="exact"/>
        <w:rPr>
          <w:rFonts w:ascii="Times New Roman" w:cs="Times New Roman" w:eastAsia="Times New Roman" w:hAnsi="Times New Roman"/>
          <w:sz w:val="18"/>
          <w:szCs w:val="18"/>
          <w:i w:val="1"/>
          <w:iCs w:val="1"/>
          <w:color w:val="auto"/>
        </w:rPr>
      </w:pPr>
    </w:p>
    <w:p>
      <w:pPr>
        <w:ind w:left="1060" w:hanging="228"/>
        <w:spacing w:after="0"/>
        <w:tabs>
          <w:tab w:leader="none" w:pos="1060" w:val="left"/>
        </w:tabs>
        <w:numPr>
          <w:ilvl w:val="1"/>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Conversion Price for such conversion shall be the Floor Price;</w:t>
      </w:r>
    </w:p>
    <w:p>
      <w:pPr>
        <w:spacing w:after="0" w:line="225" w:lineRule="exact"/>
        <w:rPr>
          <w:sz w:val="20"/>
          <w:szCs w:val="20"/>
          <w:color w:val="auto"/>
        </w:rPr>
      </w:pPr>
    </w:p>
    <w:p>
      <w:pPr>
        <w:jc w:val="both"/>
        <w:ind w:left="180" w:firstLine="652"/>
        <w:spacing w:after="0" w:line="261" w:lineRule="auto"/>
        <w:tabs>
          <w:tab w:leader="none" w:pos="1113"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shall determine the number of shares of Common Stock that the Holder would have been entitled to receive in respect of the Conversion Amount on such Conversion Date if the Conversion Price were equal to the Unrestricted Conversion Price (the “</w:t>
      </w:r>
      <w:r>
        <w:rPr>
          <w:rFonts w:ascii="Times New Roman" w:cs="Times New Roman" w:eastAsia="Times New Roman" w:hAnsi="Times New Roman"/>
          <w:sz w:val="18"/>
          <w:szCs w:val="18"/>
          <w:b w:val="1"/>
          <w:bCs w:val="1"/>
          <w:i w:val="1"/>
          <w:iCs w:val="1"/>
          <w:color w:val="auto"/>
        </w:rPr>
        <w:t>Unrestricted Shares</w:t>
      </w:r>
      <w:r>
        <w:rPr>
          <w:rFonts w:ascii="Times New Roman" w:cs="Times New Roman" w:eastAsia="Times New Roman" w:hAnsi="Times New Roman"/>
          <w:sz w:val="18"/>
          <w:szCs w:val="18"/>
          <w:color w:val="auto"/>
        </w:rPr>
        <w:t>”), and the number of shares issuable at the Floor Price (the “</w:t>
      </w:r>
      <w:r>
        <w:rPr>
          <w:rFonts w:ascii="Times New Roman" w:cs="Times New Roman" w:eastAsia="Times New Roman" w:hAnsi="Times New Roman"/>
          <w:sz w:val="18"/>
          <w:szCs w:val="18"/>
          <w:b w:val="1"/>
          <w:bCs w:val="1"/>
          <w:i w:val="1"/>
          <w:iCs w:val="1"/>
          <w:color w:val="auto"/>
        </w:rPr>
        <w:t>Floor Shares</w:t>
      </w:r>
      <w:r>
        <w:rPr>
          <w:rFonts w:ascii="Times New Roman" w:cs="Times New Roman" w:eastAsia="Times New Roman" w:hAnsi="Times New Roman"/>
          <w:sz w:val="18"/>
          <w:szCs w:val="18"/>
          <w:color w:val="auto"/>
        </w:rPr>
        <w:t>”). The difference between such amounts shall be the “</w:t>
      </w:r>
      <w:r>
        <w:rPr>
          <w:rFonts w:ascii="Times New Roman" w:cs="Times New Roman" w:eastAsia="Times New Roman" w:hAnsi="Times New Roman"/>
          <w:sz w:val="18"/>
          <w:szCs w:val="18"/>
          <w:b w:val="1"/>
          <w:bCs w:val="1"/>
          <w:i w:val="1"/>
          <w:iCs w:val="1"/>
          <w:color w:val="auto"/>
        </w:rPr>
        <w:t>Share Shortfall</w:t>
      </w:r>
      <w:r>
        <w:rPr>
          <w:rFonts w:ascii="Times New Roman" w:cs="Times New Roman" w:eastAsia="Times New Roman" w:hAnsi="Times New Roman"/>
          <w:sz w:val="18"/>
          <w:szCs w:val="18"/>
          <w:color w:val="auto"/>
        </w:rPr>
        <w:t>,” which shall be determined by the following formula:</w:t>
      </w:r>
    </w:p>
    <w:p>
      <w:pPr>
        <w:spacing w:after="0" w:line="18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Share Shortfall=(PC÷UCP) – (PC÷ FP)</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PC </w:t>
      </w:r>
      <w:r>
        <w:rPr>
          <w:rFonts w:ascii="Times New Roman" w:cs="Times New Roman" w:eastAsia="Times New Roman" w:hAnsi="Times New Roman"/>
          <w:sz w:val="18"/>
          <w:szCs w:val="18"/>
          <w:color w:val="auto"/>
        </w:rPr>
        <w:t>= principal amount being converted on such Conversion Date</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UCP </w:t>
      </w:r>
      <w:r>
        <w:rPr>
          <w:rFonts w:ascii="Times New Roman" w:cs="Times New Roman" w:eastAsia="Times New Roman" w:hAnsi="Times New Roman"/>
          <w:sz w:val="18"/>
          <w:szCs w:val="18"/>
          <w:color w:val="auto"/>
        </w:rPr>
        <w:t>= Unrestricted Conversion Price</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FP </w:t>
      </w:r>
      <w:r>
        <w:rPr>
          <w:rFonts w:ascii="Times New Roman" w:cs="Times New Roman" w:eastAsia="Times New Roman" w:hAnsi="Times New Roman"/>
          <w:sz w:val="18"/>
          <w:szCs w:val="18"/>
          <w:color w:val="auto"/>
        </w:rPr>
        <w:t>= Floor Price</w:t>
      </w:r>
    </w:p>
    <w:p>
      <w:pPr>
        <w:spacing w:after="0" w:line="229" w:lineRule="exact"/>
        <w:rPr>
          <w:sz w:val="20"/>
          <w:szCs w:val="20"/>
          <w:color w:val="auto"/>
        </w:rPr>
      </w:pPr>
    </w:p>
    <w:p>
      <w:pPr>
        <w:ind w:left="180" w:right="20" w:firstLine="652"/>
        <w:spacing w:after="0" w:line="282" w:lineRule="auto"/>
        <w:tabs>
          <w:tab w:leader="none" w:pos="1172"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Simultaneously with the issuance of the Floor Shares, the Company shall pay to the Holder an amount (such amount, the “</w:t>
      </w:r>
      <w:r>
        <w:rPr>
          <w:rFonts w:ascii="Times New Roman" w:cs="Times New Roman" w:eastAsia="Times New Roman" w:hAnsi="Times New Roman"/>
          <w:sz w:val="18"/>
          <w:szCs w:val="18"/>
          <w:b w:val="1"/>
          <w:bCs w:val="1"/>
          <w:i w:val="1"/>
          <w:iCs w:val="1"/>
          <w:color w:val="auto"/>
        </w:rPr>
        <w:t>True-Up Amount</w:t>
      </w:r>
      <w:r>
        <w:rPr>
          <w:rFonts w:ascii="Times New Roman" w:cs="Times New Roman" w:eastAsia="Times New Roman" w:hAnsi="Times New Roman"/>
          <w:sz w:val="18"/>
          <w:szCs w:val="18"/>
          <w:color w:val="auto"/>
        </w:rPr>
        <w:t>”), which shall be determined by the following formula:</w:t>
      </w:r>
    </w:p>
    <w:p>
      <w:pPr>
        <w:spacing w:after="0" w:line="1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True-Up Amount = Share Shortfall * MP</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Where </w:t>
      </w:r>
      <w:r>
        <w:rPr>
          <w:rFonts w:ascii="Times New Roman" w:cs="Times New Roman" w:eastAsia="Times New Roman" w:hAnsi="Times New Roman"/>
          <w:sz w:val="18"/>
          <w:szCs w:val="18"/>
          <w:b w:val="1"/>
          <w:bCs w:val="1"/>
          <w:i w:val="1"/>
          <w:iCs w:val="1"/>
          <w:color w:val="auto"/>
        </w:rPr>
        <w:t>MP</w:t>
      </w:r>
      <w:r>
        <w:rPr>
          <w:rFonts w:ascii="Times New Roman" w:cs="Times New Roman" w:eastAsia="Times New Roman" w:hAnsi="Times New Roman"/>
          <w:sz w:val="18"/>
          <w:szCs w:val="18"/>
          <w:color w:val="auto"/>
        </w:rPr>
        <w:t xml:space="preserve"> equals the lowest VWAP on the date immediately preceding Conversion Date.</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0" w:name="page51"/>
    <w:bookmarkEnd w:id="50"/>
    <w:p>
      <w:pPr>
        <w:ind w:left="644"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(IV) </w:t>
      </w:r>
      <w:r>
        <w:rPr>
          <w:rFonts w:ascii="Times New Roman" w:cs="Times New Roman" w:eastAsia="Times New Roman" w:hAnsi="Times New Roman"/>
          <w:sz w:val="18"/>
          <w:szCs w:val="18"/>
          <w:color w:val="auto"/>
        </w:rPr>
        <w:t>If the True-Up Amount is not paid in cash on the Conversion Date, then such amount shall automatically and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action be added to the outstanding Principal Amount.</w:t>
      </w:r>
    </w:p>
    <w:p>
      <w:pPr>
        <w:spacing w:after="0" w:line="160" w:lineRule="exact"/>
        <w:rPr>
          <w:sz w:val="20"/>
          <w:szCs w:val="20"/>
          <w:color w:val="auto"/>
        </w:rPr>
      </w:pPr>
    </w:p>
    <w:p>
      <w:pPr>
        <w:ind w:left="1564" w:hanging="268"/>
        <w:spacing w:after="0"/>
        <w:tabs>
          <w:tab w:leader="none" w:pos="1564" w:val="left"/>
        </w:tabs>
        <w:numPr>
          <w:ilvl w:val="1"/>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Each Conversion shall independently give rise to a separate True-Up Amount obligation pursuant to this Section 8(g)(v).</w:t>
      </w:r>
    </w:p>
    <w:p>
      <w:pPr>
        <w:spacing w:after="0" w:line="225" w:lineRule="exact"/>
        <w:rPr>
          <w:rFonts w:ascii="Times New Roman" w:cs="Times New Roman" w:eastAsia="Times New Roman" w:hAnsi="Times New Roman"/>
          <w:sz w:val="18"/>
          <w:szCs w:val="18"/>
          <w:i w:val="1"/>
          <w:iCs w:val="1"/>
          <w:color w:val="auto"/>
        </w:rPr>
      </w:pPr>
    </w:p>
    <w:p>
      <w:pPr>
        <w:jc w:val="both"/>
        <w:ind w:left="644" w:hanging="644"/>
        <w:spacing w:after="0" w:line="251" w:lineRule="auto"/>
        <w:tabs>
          <w:tab w:leader="none" w:pos="644"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The Maker shall not enter into or be party to a Fundamental Transaction unless (i) the Successor Entity assumes in writing all of the obligations of the Maker under this Note and the other Transaction Documents in accordance with the provisions of this Section 8(h) pursuant to written agreements in form and substance satisfactory to the Holder and approved by the Holder, with such approval not to be unreasonably withheld,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“Maker” shall refer instead to the Successor Entity), and may exercise every right and power of the Maker and shall assume all of the obligations of the Maker under this Note and the other Transaction Documents with the same effect as if such Successor Entity had been named as the Maker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this Section 8,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Maker to waive this Section 8(h) to permit the Fundamental Transaction without the assumption of this Note. The provisions of this Section 8(h) shall apply similarly and equally to successive Fundamental Transactions and shall be applied without regard to any limitations on the conversion of this Note. Notwithstanding this </w:t>
      </w:r>
      <w:r>
        <w:rPr>
          <w:rFonts w:ascii="Times New Roman" w:cs="Times New Roman" w:eastAsia="Times New Roman" w:hAnsi="Times New Roman"/>
          <w:sz w:val="18"/>
          <w:szCs w:val="18"/>
          <w:u w:val="single" w:color="auto"/>
          <w:color w:val="auto"/>
        </w:rPr>
        <w:t>Section 8(h)</w:t>
      </w:r>
      <w:r>
        <w:rPr>
          <w:rFonts w:ascii="Times New Roman" w:cs="Times New Roman" w:eastAsia="Times New Roman" w:hAnsi="Times New Roman"/>
          <w:sz w:val="18"/>
          <w:szCs w:val="18"/>
          <w:color w:val="auto"/>
        </w:rPr>
        <w:t>, the prohibition on Fundamental Transactions does not apply if the Fundamental Transaction is not within the Company’s control, including not approved by the Company’s Board of Directors.</w:t>
      </w: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51" w:name="page52"/>
    <w:bookmarkEnd w:id="51"/>
    <w:p>
      <w:pPr>
        <w:jc w:val="both"/>
        <w:ind w:left="644" w:hanging="644"/>
        <w:spacing w:after="0" w:line="252" w:lineRule="auto"/>
        <w:tabs>
          <w:tab w:leader="none" w:pos="644"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other adjustments pursuant to this Section 8, if at any time the Maker grants, issues, or sells any Options, Convertible Securities,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1" w:lineRule="exact"/>
        <w:rPr>
          <w:rFonts w:ascii="Times New Roman" w:cs="Times New Roman" w:eastAsia="Times New Roman" w:hAnsi="Times New Roman"/>
          <w:sz w:val="18"/>
          <w:szCs w:val="18"/>
          <w:i w:val="1"/>
          <w:iCs w:val="1"/>
          <w:color w:val="auto"/>
        </w:rPr>
      </w:pPr>
    </w:p>
    <w:p>
      <w:pPr>
        <w:jc w:val="both"/>
        <w:ind w:left="644" w:hanging="644"/>
        <w:spacing w:after="0" w:line="253" w:lineRule="auto"/>
        <w:tabs>
          <w:tab w:leader="none" w:pos="644"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i w:val="1"/>
          <w:iCs w:val="1"/>
          <w:color w:val="auto"/>
        </w:rPr>
        <w:t>Corporate Event</w:t>
      </w:r>
      <w:r>
        <w:rPr>
          <w:rFonts w:ascii="Times New Roman" w:cs="Times New Roman" w:eastAsia="Times New Roman" w:hAnsi="Times New Roman"/>
          <w:sz w:val="18"/>
          <w:szCs w:val="18"/>
          <w:color w:val="auto"/>
        </w:rPr>
        <w:t>”), the Maker shall make appropriate provision to ensure that the Holder will thereafter have the right to receive upon a conversion of this Note, at the Holder’s option, either (i) the shares of Common Stock receivable upon such conversion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Price. Provision made pursuant to the preceding sentence shall be in a form and substance satisfactory to the Holder. The provisions of this Section 8(j) shall apply similarly and equally to successive Corporate Events and shall be applied without regard to any limitations on the conversion or redemption of this Note.</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2" w:name="page53"/>
    <w:bookmarkEnd w:id="52"/>
    <w:p>
      <w:pPr>
        <w:jc w:val="both"/>
        <w:ind w:left="1300" w:hanging="644"/>
        <w:spacing w:after="0" w:line="253" w:lineRule="auto"/>
        <w:tabs>
          <w:tab w:leader="none" w:pos="1300" w:val="left"/>
        </w:tabs>
        <w:numPr>
          <w:ilvl w:val="1"/>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this Section 8, if the Maker, at any time on or after the Issuance Date, subdivides (by any stock split, stock dividend, stock combination, recapitalization or other similar transaction) one or more classes of its outstanding Common Stock into a greater number of shares, the Conversion Price in effect immediately prior to such subdivision will be proportionately reduced. Without limiting any provision of this Section 8, if the Maker, at any time on or after the Issuance Date, combines (by any stock split, stock dividend, stock combination, recapitalization, or other similar transaction) one or more classes of its outstanding Common Stock into a smaller number of shares, the Conversion Price in effect immediately prior to such combination will be proportionately increased. Any adjustment pursuant to this Section 8(k) shall become effective immediately after the effective date of such subdivision or combination. If any event requiring an adjustment under this Section 8(k) occurs during the period that a Conversion Price is calculated hereunder, then the calculation of such Conversion Price shall be adjusted appropriately to reflect such event.</w:t>
      </w:r>
    </w:p>
    <w:p>
      <w:pPr>
        <w:spacing w:after="0" w:line="194"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Maker hereby represents and warrants as of the date of this Note, as follows:</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The Maker is a company organized, validly existing, and in good standing under the laws of the State of Delaware.</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1"/>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The Maker has the power and authority, and the legal right, to execute and deliver this Note and to perform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hereunder.</w:t>
      </w:r>
    </w:p>
    <w:p>
      <w:pPr>
        <w:spacing w:after="0" w:line="158" w:lineRule="exact"/>
        <w:rPr>
          <w:rFonts w:ascii="Times New Roman" w:cs="Times New Roman" w:eastAsia="Times New Roman" w:hAnsi="Times New Roman"/>
          <w:sz w:val="18"/>
          <w:szCs w:val="18"/>
          <w:i w:val="1"/>
          <w:iCs w:val="1"/>
          <w:color w:val="auto"/>
        </w:rPr>
      </w:pPr>
    </w:p>
    <w:p>
      <w:pPr>
        <w:jc w:val="both"/>
        <w:ind w:left="1300" w:hanging="644"/>
        <w:spacing w:after="0" w:line="267" w:lineRule="auto"/>
        <w:tabs>
          <w:tab w:leader="none" w:pos="1300" w:val="left"/>
        </w:tabs>
        <w:numPr>
          <w:ilvl w:val="1"/>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Authorization; Execution; and Delivery</w:t>
      </w:r>
      <w:r>
        <w:rPr>
          <w:rFonts w:ascii="Times New Roman" w:cs="Times New Roman" w:eastAsia="Times New Roman" w:hAnsi="Times New Roman"/>
          <w:sz w:val="18"/>
          <w:szCs w:val="18"/>
          <w:color w:val="auto"/>
        </w:rPr>
        <w:t>. The execution and delivery of this Note by the Maker and the performance of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and thereunder have been duly authorized by all necessary corporate action in accordance with all applicable laws. The Maker has duly executed and delivered this Note.</w:t>
      </w:r>
    </w:p>
    <w:p>
      <w:pPr>
        <w:spacing w:after="0" w:line="173" w:lineRule="exact"/>
        <w:rPr>
          <w:rFonts w:ascii="Times New Roman" w:cs="Times New Roman" w:eastAsia="Times New Roman" w:hAnsi="Times New Roman"/>
          <w:sz w:val="18"/>
          <w:szCs w:val="18"/>
          <w:i w:val="1"/>
          <w:iCs w:val="1"/>
          <w:color w:val="auto"/>
        </w:rPr>
      </w:pPr>
    </w:p>
    <w:p>
      <w:pPr>
        <w:jc w:val="both"/>
        <w:ind w:left="1300" w:hanging="644"/>
        <w:spacing w:after="0" w:line="261" w:lineRule="auto"/>
        <w:tabs>
          <w:tab w:leader="none" w:pos="1300" w:val="left"/>
        </w:tabs>
        <w:numPr>
          <w:ilvl w:val="1"/>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 The Note is a valid, legal, and binding obligation of the Maker, enforceable against the Maker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9"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1"/>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Approvals</w:t>
      </w:r>
      <w:r>
        <w:rPr>
          <w:rFonts w:ascii="Times New Roman" w:cs="Times New Roman" w:eastAsia="Times New Roman" w:hAnsi="Times New Roman"/>
          <w:sz w:val="18"/>
          <w:szCs w:val="18"/>
          <w:color w:val="auto"/>
        </w:rPr>
        <w:t>. No consent or authorization of, filing with, notice to or other act by, or in respect of, any governmental authority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 is required in order for the Maker to execute, deliver, or perform any of its obligations under this Note.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left="1300" w:hanging="644"/>
        <w:spacing w:after="0" w:line="261" w:lineRule="auto"/>
        <w:tabs>
          <w:tab w:leader="none" w:pos="1300" w:val="left"/>
        </w:tabs>
        <w:numPr>
          <w:ilvl w:val="1"/>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Violations</w:t>
      </w:r>
      <w:r>
        <w:rPr>
          <w:rFonts w:ascii="Times New Roman" w:cs="Times New Roman" w:eastAsia="Times New Roman" w:hAnsi="Times New Roman"/>
          <w:sz w:val="18"/>
          <w:szCs w:val="18"/>
          <w:color w:val="auto"/>
        </w:rPr>
        <w:t>. The execution and delivery of this Note and the consummation by the Maker of the transactions contemplated hereby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thereby do not and will not (a) violate any provision of the Maker’s organizational documents; (b) violate any law or order applicable to the Maker or by which any of its properties or assets may be bound; or (c) constitute a default under any material agreement or contract by which the Maker may be bound.</w:t>
      </w:r>
    </w:p>
    <w:p>
      <w:pPr>
        <w:spacing w:after="0" w:line="181" w:lineRule="exact"/>
        <w:rPr>
          <w:rFonts w:ascii="Times New Roman" w:cs="Times New Roman" w:eastAsia="Times New Roman" w:hAnsi="Times New Roman"/>
          <w:sz w:val="18"/>
          <w:szCs w:val="18"/>
          <w:i w:val="1"/>
          <w:iCs w:val="1"/>
          <w:color w:val="auto"/>
        </w:rPr>
      </w:pPr>
    </w:p>
    <w:p>
      <w:pPr>
        <w:ind w:firstLine="8"/>
        <w:spacing w:after="0" w:line="282" w:lineRule="auto"/>
        <w:tabs>
          <w:tab w:leader="none" w:pos="2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All shares of Common Stock issuable upon a conversion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have the benefit of registration rights on the terms set forth as follows: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following capitalized terms are defined as follows:</w:t>
      </w:r>
    </w:p>
    <w:p>
      <w:pPr>
        <w:spacing w:after="0" w:line="221" w:lineRule="exact"/>
        <w:rPr>
          <w:sz w:val="20"/>
          <w:szCs w:val="20"/>
          <w:color w:val="auto"/>
        </w:rPr>
      </w:pPr>
    </w:p>
    <w:p>
      <w:pPr>
        <w:jc w:val="both"/>
        <w:ind w:left="80" w:firstLine="1305"/>
        <w:spacing w:after="0" w:line="268" w:lineRule="auto"/>
        <w:tabs>
          <w:tab w:leader="none" w:pos="162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Qualified Offering Registration Statement</w:t>
      </w:r>
      <w:r>
        <w:rPr>
          <w:rFonts w:ascii="Times New Roman" w:cs="Times New Roman" w:eastAsia="Times New Roman" w:hAnsi="Times New Roman"/>
          <w:sz w:val="18"/>
          <w:szCs w:val="18"/>
          <w:color w:val="auto"/>
        </w:rPr>
        <w:t xml:space="preserve">” shall mean a registration statement to register for registration of the issuance of securities in a Qualified Offering described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below, and shall include any preliminary prospectus, final prospectus, exhibit or amendment included in or relating to such registration statements</w:t>
      </w:r>
    </w:p>
    <w:p>
      <w:pPr>
        <w:spacing w:after="0" w:line="170" w:lineRule="exact"/>
        <w:rPr>
          <w:rFonts w:ascii="Times New Roman" w:cs="Times New Roman" w:eastAsia="Times New Roman" w:hAnsi="Times New Roman"/>
          <w:sz w:val="18"/>
          <w:szCs w:val="18"/>
          <w:color w:val="auto"/>
        </w:rPr>
      </w:pPr>
    </w:p>
    <w:p>
      <w:pPr>
        <w:jc w:val="both"/>
        <w:ind w:left="80" w:firstLine="1305"/>
        <w:spacing w:after="0" w:line="268" w:lineRule="auto"/>
        <w:tabs>
          <w:tab w:leader="none" w:pos="16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Resale Registration Statement</w:t>
      </w:r>
      <w:r>
        <w:rPr>
          <w:rFonts w:ascii="Times New Roman" w:cs="Times New Roman" w:eastAsia="Times New Roman" w:hAnsi="Times New Roman"/>
          <w:sz w:val="18"/>
          <w:szCs w:val="18"/>
          <w:color w:val="auto"/>
        </w:rPr>
        <w:t xml:space="preserve">” shall mean a registration statement on Form S-3 (or, if Form S-3 is not then available to the Maker, on such other form as is then available to the Maker) to register for resale the Registrable Shares required to be filed by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below, and shall include any preliminary prospectus, final prospectus, exhibit or amendment included in or relating to such registration statements;</w:t>
      </w:r>
    </w:p>
    <w:p>
      <w:pPr>
        <w:spacing w:after="0" w:line="17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Registrable Shares</w:t>
      </w:r>
      <w:r>
        <w:rPr>
          <w:rFonts w:ascii="Times New Roman" w:cs="Times New Roman" w:eastAsia="Times New Roman" w:hAnsi="Times New Roman"/>
          <w:sz w:val="18"/>
          <w:szCs w:val="18"/>
          <w:color w:val="auto"/>
        </w:rPr>
        <w:t xml:space="preserve">” means the shares of Common Stock issuable upon conversion of this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Shares shall cease to be a Registrable Share upon the earliest to occur of the following: (i) a Resale Registration Statement registering such security under the Securities Act has been declared or becomes effective and such security has been sold or otherwise transferred by the Holder pursuant to and in a manner contemplated by such effective Resale Registration Statement; (ii) such security is sold pursuant to Rule 144 under circumstances in which any legend borne by such security relating to restrictions on transferability thereof, under the Securities Act or otherwise, is removed by the Maker; (iii) the first date such security is eligible to be sold pursuant to Rule 144 without any limitation as to volume of sales, holding period and without Holder complying with any method of sale requirements or notice requirements under Rule 144; or (iv) such security shall cease to be outstanding following its issuance;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4" w:name="page55"/>
    <w:bookmarkEnd w:id="54"/>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 Qualified Offering Registration Statement and a Resale Registration Statement.</w:t>
      </w:r>
    </w:p>
    <w:p>
      <w:pPr>
        <w:spacing w:after="0" w:line="17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means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Filing Date (or, in the event the United States Securities and</w:t>
      </w:r>
    </w:p>
    <w:p>
      <w:pPr>
        <w:jc w:val="both"/>
        <w:spacing w:after="0" w:line="244" w:lineRule="auto"/>
        <w:rPr>
          <w:sz w:val="20"/>
          <w:szCs w:val="20"/>
          <w:color w:val="auto"/>
        </w:rPr>
      </w:pPr>
      <w:r>
        <w:rPr>
          <w:rFonts w:ascii="Times New Roman" w:cs="Times New Roman" w:eastAsia="Times New Roman" w:hAnsi="Times New Roman"/>
          <w:sz w:val="17"/>
          <w:szCs w:val="17"/>
          <w:color w:val="auto"/>
        </w:rPr>
        <w:t>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reviews or has written or verbal comments to the Resale Registration Statement,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Filing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the Company is notified by the SEC that the Resale Registration Statement will not be reviewed or is no longer subject to further review and comments, the Effectiveness Deadline shall be no later than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following the date of such notification.</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The Maker shall file, on or before the date that is six (6) months after the Issuance Date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a Resale Registration Statement providing for the registration of, and the sale on a continuous or delayed basis of, all Registrable Shares then held by the Holder pursuant to Rule 415 under the Securities Act. Upon filing the Resale Registration Statement, the Maker shall use its best efforts to cause such Resale Registration Statement to be declared effective by the Effectiveness Deadline, keep such Resale Registration Statement effective with the SEC at all times, re-file such Resale Registration Statement upon its expiration, and cooperate in any amendment or supplementation of the prospectus related to the Resale Registration Statement as may be reasonably requested by the Maker or as otherwise required, until such time as all Registrable Shares that could be sold under the Resale Registration Statement have been sold or are no longer outstanding.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Piggyback Registration Statement</w:t>
      </w:r>
      <w:r>
        <w:rPr>
          <w:rFonts w:ascii="Times New Roman" w:cs="Times New Roman" w:eastAsia="Times New Roman" w:hAnsi="Times New Roman"/>
          <w:sz w:val="18"/>
          <w:szCs w:val="18"/>
          <w:color w:val="auto"/>
        </w:rPr>
        <w:t xml:space="preserve">. In addition to the rights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above, upon the registration of the issuance of securities in a Qualified Offering, the Company shall include in the Qualified Offering Registration Statement the issuance and resale of Common Stock issuable upon conversion of this Note, upon the same terms as the securities issued in the Qualified Offering.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the SEC prevents the Maker from including any or all of the Registrable Shares in a Resale Registration Statement due to limitations on the use of Rule 415 under the Securities Act or requires the Holder to be named as an “underwriter,” the Maker shall use its best efforts to persuade, consistent with applicable law, the SEC that the offering contemplated by the Resale Registration Statement is a valid secondary offering and not an offering “by or on behalf of the registrant” as described in Rule 415 and that the Holder is not an “underwriter.” In the event that, despite the Maker’s best efforts and compliance with the terms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the SEC refuses to alter its position, the Maker shall (i) remove from the Resale Registration Statement only such portion of the Registrable Shares (the “</w:t>
      </w:r>
      <w:r>
        <w:rPr>
          <w:rFonts w:ascii="Times New Roman" w:cs="Times New Roman" w:eastAsia="Times New Roman" w:hAnsi="Times New Roman"/>
          <w:sz w:val="18"/>
          <w:szCs w:val="18"/>
          <w:b w:val="1"/>
          <w:bCs w:val="1"/>
          <w:i w:val="1"/>
          <w:iCs w:val="1"/>
          <w:color w:val="auto"/>
        </w:rPr>
        <w:t>Cut Back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and/or (ii) agree to such restrictions and limitations on the registration and resale of the Registrable Shares, in each of (i) and (ii), as the SEC requires to assure the Maker’s compliance with the requirements of Rule 415 (collectively, the “</w:t>
      </w:r>
      <w:r>
        <w:rPr>
          <w:rFonts w:ascii="Times New Roman" w:cs="Times New Roman" w:eastAsia="Times New Roman" w:hAnsi="Times New Roman"/>
          <w:sz w:val="18"/>
          <w:szCs w:val="18"/>
          <w:b w:val="1"/>
          <w:bCs w:val="1"/>
          <w:i w:val="1"/>
          <w:iCs w:val="1"/>
          <w:color w:val="auto"/>
        </w:rPr>
        <w:t>SEC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Maker shall not agree to name the Holder as an “underwriter” in such Resale Registration Statement without the prior written consent of the Holder. From and after the date that the Maker is eligible to bring effective the registration of such Cut Back Shares in accordance with any SEC Restrictions (such date, the “</w:t>
      </w:r>
      <w:r>
        <w:rPr>
          <w:rFonts w:ascii="Times New Roman" w:cs="Times New Roman" w:eastAsia="Times New Roman" w:hAnsi="Times New Roman"/>
          <w:sz w:val="18"/>
          <w:szCs w:val="18"/>
          <w:b w:val="1"/>
          <w:bCs w:val="1"/>
          <w:i w:val="1"/>
          <w:iCs w:val="1"/>
          <w:color w:val="auto"/>
        </w:rPr>
        <w:t>Restriction Termination Date</w:t>
      </w:r>
      <w:r>
        <w:rPr>
          <w:rFonts w:ascii="Times New Roman" w:cs="Times New Roman" w:eastAsia="Times New Roman" w:hAnsi="Times New Roman"/>
          <w:sz w:val="18"/>
          <w:szCs w:val="18"/>
          <w:color w:val="auto"/>
        </w:rPr>
        <w:t xml:space="preserve">” of such Cut Back Shares) applicable to any Cut Back Shares, all of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again be applicable to such Cut Back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Filing Deadline for the Resale Registration Statement including such Cut Back Shares shall be ten (10) trading days after such Restriction Termination Date, and the Maker shall use its best efforts to cause such Resale Registration Statement to become effective as promptly as practicable, but in any event, by the Effectiveness Deadline (provided, however, that for purposes of a Resale Registration Statement registering such Cut Back Shares, references to the “Filing Date” contained in the definition of “Effectiveness Deadline” shall instead be to the “Restriction Termination Date”). Any failure by the Maker to file a Resale Registration Statement by the Filing Deadline or to cause such Resale Registration Statement to become effective by the Effectiveness Deadline shall not otherwise relieve the Maker of its obligations to file or cause to become effective the Resale Registration Statements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Prospectus Suspension</w:t>
      </w:r>
      <w:r>
        <w:rPr>
          <w:rFonts w:ascii="Times New Roman" w:cs="Times New Roman" w:eastAsia="Times New Roman" w:hAnsi="Times New Roman"/>
          <w:sz w:val="18"/>
          <w:szCs w:val="18"/>
          <w:color w:val="auto"/>
        </w:rPr>
        <w:t xml:space="preserve">. The Holder acknowledges that there may be times when the Maker must suspend the use of the prospectus forming a part of the Resale Registration Statement until such time as an amendment to the Resale Registration Statement has been filed by the Maker and declared effective by the SEC, or until such time as the Maker has filed an appropriate report with the SEC pursuant to the Exchange Act. The Holder hereby covenants that it will not sell any Registrable Shares pursuant to said prospectus during the period commencing at the time at which the Maker gives the Holder notice of the suspension of the use of said prospectus and ending at the time the Maker gives the Holder notice that the Holder may thereafter effect sales pursuant to said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 that such suspension periods shall in no event exceed (A) on more than two occasions, a period of more than thirty (30) consecutive trading days or (B) more than an aggregate total of sixty (60) trading days, in each case in any twelve (12) month period, and (ii) the Maker’s board of directors has reasonably determined that, in order for such Resale Registration Statement not to contain a material misstatement or omission, an amendment thereto would be needed to include information that would at that time not otherwise be required in a current, quarterly or annual report under the Exchange Act. For avoidance of doubt, nothing herein shall prevent the Holder from selling the Registrable Shares pursuant to Rule 144.</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fullest extent permitted by law, the Company will, and hereby does, indemnify, hold harmless and defend the Holder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Holder within the meaning of the Securities Act or the Exchange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Shares are offered (“</w:t>
      </w:r>
      <w:r>
        <w:rPr>
          <w:rFonts w:ascii="Times New Roman" w:cs="Times New Roman" w:eastAsia="Times New Roman" w:hAnsi="Times New Roman"/>
          <w:sz w:val="18"/>
          <w:szCs w:val="18"/>
          <w:b w:val="1"/>
          <w:bCs w:val="1"/>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Shares pursuant to a Registration Statement, or (iv) any violation of this Note (the matters in the foregoing clauses (i) through (iv)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10.6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if such prospectus was timely made available by the Company,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Shares by the Holder.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8"/>
        <w:spacing w:after="0" w:line="261" w:lineRule="auto"/>
        <w:tabs>
          <w:tab w:leader="none" w:pos="2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Note nor any of the rights, interests or obligations hereunder may be assigned by either Party, whether by operation of law or otherwise, without the other Party’s prior written consent (other than by merger). Any purported attempt by a Party to assign this Note or any of the rights, interests or obligations hereunder in violation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null and void. For the avoidance of doubt, the Holder shall not in any event transfer this Note or any of the rights, interests or obligation hereunder to any party without the Maker’s prior written consent.</w:t>
      </w:r>
    </w:p>
    <w:p>
      <w:pPr>
        <w:spacing w:after="0" w:line="17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Unsecured Obligation</w:t>
      </w:r>
      <w:r>
        <w:rPr>
          <w:rFonts w:ascii="Times New Roman" w:cs="Times New Roman" w:eastAsia="Times New Roman" w:hAnsi="Times New Roman"/>
          <w:sz w:val="18"/>
          <w:szCs w:val="18"/>
          <w:color w:val="auto"/>
        </w:rPr>
        <w:t>. This Note is an unsecured obligation of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consents, instructions or other communications required or permitted hereunder shall be in writing and emailed, mailed or delivered to each party as follows: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1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Maker, at the following address or email address (or at such other address or email address as the Maker shall have furnished to Holder in writing):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Zyversa Therapeutics,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Peter Wolfe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2200 N. Commerce Parkway, Suite 208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Weston, Florida 33326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pwolfe@zyversa.com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Thompson Hine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Faith L. Charles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Madison Avenue, 27th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Faith.Charles@thompsonhine.com</w:t>
      </w:r>
    </w:p>
    <w:p>
      <w:pPr>
        <w:spacing w:after="0" w:line="207" w:lineRule="exact"/>
        <w:rPr>
          <w:sz w:val="20"/>
          <w:szCs w:val="20"/>
          <w:color w:val="auto"/>
        </w:rPr>
      </w:pPr>
    </w:p>
    <w:p>
      <w:pPr>
        <w:ind w:left="1580" w:hanging="276"/>
        <w:spacing w:after="0"/>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Holder, at the following address or email address (or at such other address or email address as Holder shall have furnished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Maker in writing):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will be deemed effectively given the earlier of (i) when received; (ii) when delivered personally; (iii) when emailed (with receipt of appropriate confirmation); (iv) one Business Day after being deposited with an overnight courier service of recognized standing; or (v) four days after being deposited in the U.S. mail, first class with postage prepaid.</w:t>
      </w:r>
    </w:p>
    <w:p>
      <w:pPr>
        <w:spacing w:after="0" w:line="176" w:lineRule="exact"/>
        <w:rPr>
          <w:sz w:val="20"/>
          <w:szCs w:val="20"/>
          <w:color w:val="auto"/>
        </w:rPr>
      </w:pPr>
    </w:p>
    <w:p>
      <w:pPr>
        <w:ind w:left="280" w:hanging="272"/>
        <w:spacing w:after="0"/>
        <w:tabs>
          <w:tab w:leader="none" w:pos="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The representations, warranties, covenants and agreements made herein shall survive the execution and delivery of this Note.</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1"/>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Note shall be judicially determined to be invalid, illegal or unenforceable, the validity, legality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enforceability of the remaining provisions shall not in any way be affected or impaired thereby.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644" w:hanging="644"/>
        <w:spacing w:after="0" w:line="284"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Maker hereby waives notice of default, presentment or demand for payment, protest or notice of nonpayment or dishonor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notices or demands relative to this instrument.</w:t>
      </w:r>
    </w:p>
    <w:p>
      <w:pPr>
        <w:spacing w:after="0" w:line="158" w:lineRule="exact"/>
        <w:rPr>
          <w:rFonts w:ascii="Times New Roman" w:cs="Times New Roman" w:eastAsia="Times New Roman" w:hAnsi="Times New Roman"/>
          <w:sz w:val="18"/>
          <w:szCs w:val="18"/>
          <w:i w:val="1"/>
          <w:iCs w:val="1"/>
          <w:color w:val="auto"/>
        </w:rPr>
      </w:pPr>
    </w:p>
    <w:p>
      <w:pPr>
        <w:jc w:val="both"/>
        <w:ind w:left="644" w:hanging="644"/>
        <w:spacing w:after="0" w:line="258"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Each of the Parties hereto shall pay its own fees, costs and expenses (including the fees of any attorneys, accountants or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engaged by such Party) in connection with this Note and the transactions contemplated hereby whether or not the transactions contemplated hereby are consummated. If Maker shall default on the payment of any of the Note Obligations, the Maker shall reimburse Holder on demand for its reasonable, documented out-of-pocket costs of collection, including reasonable attorney’s fees and disbursements.</w:t>
      </w:r>
    </w:p>
    <w:p>
      <w:pPr>
        <w:spacing w:after="0" w:line="183" w:lineRule="exact"/>
        <w:rPr>
          <w:rFonts w:ascii="Times New Roman" w:cs="Times New Roman" w:eastAsia="Times New Roman" w:hAnsi="Times New Roman"/>
          <w:sz w:val="18"/>
          <w:szCs w:val="18"/>
          <w:i w:val="1"/>
          <w:iCs w:val="1"/>
          <w:color w:val="auto"/>
        </w:rPr>
      </w:pPr>
    </w:p>
    <w:p>
      <w:pPr>
        <w:ind w:left="644" w:hanging="644"/>
        <w:spacing w:after="0" w:line="284"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Drafting Presumption. </w:t>
      </w:r>
      <w:r>
        <w:rPr>
          <w:rFonts w:ascii="Times New Roman" w:cs="Times New Roman" w:eastAsia="Times New Roman" w:hAnsi="Times New Roman"/>
          <w:sz w:val="18"/>
          <w:szCs w:val="18"/>
          <w:color w:val="auto"/>
        </w:rPr>
        <w:t>The language used in this Note shall be deemed to be the language chosen by the Parties to express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intent, and no rule of strict construction shall be applied against any Party.</w:t>
      </w:r>
    </w:p>
    <w:p>
      <w:pPr>
        <w:spacing w:after="0" w:line="158"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Reservation of Rights. </w:t>
      </w:r>
      <w:r>
        <w:rPr>
          <w:rFonts w:ascii="Times New Roman" w:cs="Times New Roman" w:eastAsia="Times New Roman" w:hAnsi="Times New Roman"/>
          <w:sz w:val="18"/>
          <w:szCs w:val="18"/>
          <w:color w:val="auto"/>
        </w:rPr>
        <w:t>No failure on the part of Holder to exercise, and no delay in exercising, any right, power, privilege or remedy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shall operate as a waiver thereof, nor shall any single or partial exercise thereof by Holder preclude any other or further exercise thereof or the exercise of any other right, power, privilege or remedy of Holder.</w:t>
      </w:r>
    </w:p>
    <w:p>
      <w:pPr>
        <w:spacing w:after="0" w:line="171" w:lineRule="exact"/>
        <w:rPr>
          <w:rFonts w:ascii="Times New Roman" w:cs="Times New Roman" w:eastAsia="Times New Roman" w:hAnsi="Times New Roman"/>
          <w:sz w:val="18"/>
          <w:szCs w:val="18"/>
          <w:i w:val="1"/>
          <w:iCs w:val="1"/>
          <w:color w:val="auto"/>
        </w:rPr>
      </w:pPr>
    </w:p>
    <w:p>
      <w:pPr>
        <w:jc w:val="both"/>
        <w:ind w:left="644" w:hanging="644"/>
        <w:spacing w:after="0" w:line="257"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CHOICE OF LAW</w:t>
      </w:r>
      <w:r>
        <w:rPr>
          <w:rFonts w:ascii="Times New Roman" w:cs="Times New Roman" w:eastAsia="Times New Roman" w:hAnsi="Times New Roman"/>
          <w:sz w:val="18"/>
          <w:szCs w:val="18"/>
          <w:b w:val="1"/>
          <w:bCs w:val="1"/>
          <w:color w:val="auto"/>
        </w:rPr>
        <w:t>. THIS NOTE AND ALL ACTIONS, CAUSES OF ACTION OR CLAIMS OF ANY KIND (WHETHER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LAW, IN EQUITY, IN CONTRACT, IN TORT OR OTHERWISE) THAT MAY BE BASED UPON, ARISE OUT OF OR RELATE TO THIS NOTE, OR THE NEGOTIATION, EXECUTION OR PERFORMANCE OF THIS NOTE SHALL BE GOVERNED BY AND CONSTRUED IN ACCORDANCE WITH THE LAWS OF THE STATE OF DELAWARE, INCLUDING WITHOUT LIMITATION DELAWARE LAWS RELATING TO APPLICABLE STATUTES OF LIMITATION AND BURDENS OF PROOF, AVAILABLE REMEDIES AND APPLICABLE EVIDENTIARY PRIVILEGES.</w:t>
      </w:r>
    </w:p>
    <w:p>
      <w:pPr>
        <w:spacing w:after="0" w:line="184" w:lineRule="exact"/>
        <w:rPr>
          <w:rFonts w:ascii="Times New Roman" w:cs="Times New Roman" w:eastAsia="Times New Roman" w:hAnsi="Times New Roman"/>
          <w:sz w:val="18"/>
          <w:szCs w:val="18"/>
          <w:i w:val="1"/>
          <w:iCs w:val="1"/>
          <w:color w:val="auto"/>
        </w:rPr>
      </w:pPr>
    </w:p>
    <w:p>
      <w:pPr>
        <w:ind w:left="644" w:hanging="644"/>
        <w:spacing w:after="0" w:line="284"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Jurisdiction</w:t>
      </w:r>
      <w:r>
        <w:rPr>
          <w:rFonts w:ascii="Times New Roman" w:cs="Times New Roman" w:eastAsia="Times New Roman" w:hAnsi="Times New Roman"/>
          <w:sz w:val="18"/>
          <w:szCs w:val="18"/>
          <w:color w:val="auto"/>
        </w:rPr>
        <w:t>. The Chancery Court of the State of Delaware and the United States District Court for the District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exclusive jurisdiction in relation to all matters which may arise out of or in connection with this Note.</w:t>
      </w:r>
    </w:p>
    <w:p>
      <w:pPr>
        <w:spacing w:after="0" w:line="158" w:lineRule="exact"/>
        <w:rPr>
          <w:rFonts w:ascii="Times New Roman" w:cs="Times New Roman" w:eastAsia="Times New Roman" w:hAnsi="Times New Roman"/>
          <w:sz w:val="18"/>
          <w:szCs w:val="18"/>
          <w:i w:val="1"/>
          <w:iCs w:val="1"/>
          <w:color w:val="auto"/>
        </w:rPr>
      </w:pPr>
    </w:p>
    <w:p>
      <w:pPr>
        <w:jc w:val="both"/>
        <w:ind w:left="644" w:hanging="644"/>
        <w:spacing w:after="0" w:line="267"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Any term of this Note may be amended, modified or waived upon the written consent of the Maker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No such waiver or consent in any one instance shall be construed to be a continuing waiver or a waiver in any other instance unless it expressly so provides.</w:t>
      </w:r>
    </w:p>
    <w:p>
      <w:pPr>
        <w:spacing w:after="0" w:line="173" w:lineRule="exact"/>
        <w:rPr>
          <w:rFonts w:ascii="Times New Roman" w:cs="Times New Roman" w:eastAsia="Times New Roman" w:hAnsi="Times New Roman"/>
          <w:sz w:val="18"/>
          <w:szCs w:val="18"/>
          <w:i w:val="1"/>
          <w:iCs w:val="1"/>
          <w:color w:val="auto"/>
        </w:rPr>
      </w:pPr>
    </w:p>
    <w:p>
      <w:pPr>
        <w:jc w:val="both"/>
        <w:ind w:left="644" w:hanging="644"/>
        <w:spacing w:after="0" w:line="256" w:lineRule="auto"/>
        <w:tabs>
          <w:tab w:leader="none" w:pos="644"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Note be manually or electronically executed in one or more counterparts (delivery of which may occur via facsimile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electronic transmission, including as an attachment to an electronic mail message in “pdf” or similar format), each of which shall be deemed an original, but all of which shall together constitute one and the same instrument. The words “execution,” “signed,” “signature,” and words of like import in this Note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83"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Note as of the Issuance Date.</w:t>
      </w:r>
    </w:p>
    <w:p>
      <w:pPr>
        <w:spacing w:after="0" w:line="225"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Steven Glover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lvl w:ilvl="1">
      <w:lvlJc w:val="left"/>
      <w:lvlText w:val="(%2)"/>
      <w:numFmt w:val="lowerLetter"/>
      <w:start w:val="1"/>
    </w:lvl>
  </w:abstractNum>
  <w:abstractNum w:abstractNumId="3">
    <w:nsid w:val="77465F01"/>
    <w:multiLevelType w:val="hybridMultilevel"/>
    <w:lvl w:ilvl="0">
      <w:lvlJc w:val="left"/>
      <w:lvlText w:val="(%1)"/>
      <w:numFmt w:val="decimal"/>
      <w:start w:val="1"/>
    </w:lvl>
    <w:lvl w:ilvl="1">
      <w:lvlJc w:val="left"/>
      <w:lvlText w:val="%2"/>
      <w:numFmt w:val="lowerLetter"/>
      <w:start w:val="1"/>
    </w:lvl>
  </w:abstractNum>
  <w:abstractNum w:abstractNumId="4">
    <w:nsid w:val="7724C67E"/>
    <w:multiLevelType w:val="hybridMultilevel"/>
    <w:lvl w:ilvl="0">
      <w:lvlJc w:val="left"/>
      <w:lvlText w:val="(%1)"/>
      <w:numFmt w:val="lowerLetter"/>
      <w:start w:val="3"/>
    </w:lvl>
  </w:abstractNum>
  <w:abstractNum w:abstractNumId="5">
    <w:nsid w:val="5C482A97"/>
    <w:multiLevelType w:val="hybridMultilevel"/>
    <w:lvl w:ilvl="0">
      <w:lvlJc w:val="left"/>
      <w:lvlText w:val="(%1)"/>
      <w:numFmt w:val="upperLetter"/>
      <w:start w:val="1"/>
    </w:lvl>
  </w:abstractNum>
  <w:abstractNum w:abstractNumId="6">
    <w:nsid w:val="2463B9EA"/>
    <w:multiLevelType w:val="hybridMultilevel"/>
    <w:lvl w:ilvl="0">
      <w:lvlJc w:val="left"/>
      <w:lvlText w:val="(%1)"/>
      <w:numFmt w:val="upperLetter"/>
      <w:start w:val="24"/>
    </w:lvl>
  </w:abstractNum>
  <w:abstractNum w:abstractNumId="7">
    <w:nsid w:val="5E884ADC"/>
    <w:multiLevelType w:val="hybridMultilevel"/>
    <w:lvl w:ilvl="0">
      <w:lvlJc w:val="left"/>
      <w:lvlText w:val="(%1)"/>
      <w:numFmt w:val="lowerLetter"/>
      <w:start w:val="2"/>
    </w:lvl>
  </w:abstractNum>
  <w:abstractNum w:abstractNumId="8">
    <w:nsid w:val="51EAD36B"/>
    <w:multiLevelType w:val="hybridMultilevel"/>
    <w:lvl w:ilvl="0">
      <w:lvlJc w:val="left"/>
      <w:lvlText w:val="1"/>
      <w:numFmt w:val="bullet"/>
      <w:start w:val="1"/>
    </w:lvl>
  </w:abstractNum>
  <w:abstractNum w:abstractNumId="9">
    <w:nsid w:val="2D517796"/>
    <w:multiLevelType w:val="hybridMultilevel"/>
    <w:lvl w:ilvl="0">
      <w:lvlJc w:val="left"/>
      <w:lvlText w:val="(%1)"/>
      <w:numFmt w:val="lowerLetter"/>
      <w:start w:val="5"/>
    </w:lvl>
    <w:lvl w:ilvl="1">
      <w:lvlJc w:val="left"/>
      <w:lvlText w:val="%2."/>
      <w:numFmt w:val="lowerRoman"/>
      <w:start w:val="1"/>
    </w:lvl>
  </w:abstractNum>
  <w:abstractNum w:abstractNumId="10">
    <w:nsid w:val="580BD78F"/>
    <w:multiLevelType w:val="hybridMultilevel"/>
    <w:lvl w:ilvl="0">
      <w:lvlJc w:val="left"/>
      <w:lvlText w:val="%1."/>
      <w:numFmt w:val="lowerRoman"/>
      <w:start w:val="4"/>
    </w:lvl>
  </w:abstractNum>
  <w:abstractNum w:abstractNumId="11">
    <w:nsid w:val="153EA438"/>
    <w:multiLevelType w:val="hybridMultilevel"/>
    <w:lvl w:ilvl="0">
      <w:lvlJc w:val="left"/>
      <w:lvlText w:val="(%1)"/>
      <w:numFmt w:val="lowerLetter"/>
      <w:start w:val="6"/>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Letter"/>
      <w:start w:val="2"/>
    </w:lvl>
  </w:abstractNum>
  <w:abstractNum w:abstractNumId="14">
    <w:nsid w:val="6A2342EC"/>
    <w:multiLevelType w:val="hybridMultilevel"/>
    <w:lvl w:ilvl="0">
      <w:lvlJc w:val="left"/>
      <w:lvlText w:val="(%1)"/>
      <w:numFmt w:val="lowerLetter"/>
      <w:start w:val="5"/>
    </w:lvl>
  </w:abstractNum>
  <w:abstractNum w:abstractNumId="15">
    <w:nsid w:val="2A487CB0"/>
    <w:multiLevelType w:val="hybridMultilevel"/>
    <w:lvl w:ilvl="0">
      <w:lvlJc w:val="left"/>
      <w:lvlText w:val="(%1)"/>
      <w:numFmt w:val="lowerLetter"/>
      <w:start w:val="6"/>
    </w:lvl>
    <w:lvl w:ilvl="1">
      <w:lvlJc w:val="left"/>
      <w:lvlText w:val="%2."/>
      <w:numFmt w:val="lowerRoman"/>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Letter"/>
      <w:start w:val="5"/>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3"/>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Letter"/>
      <w:start w:val="2"/>
    </w:lvl>
  </w:abstractNum>
  <w:abstractNum w:abstractNumId="26">
    <w:nsid w:val="32FFF902"/>
    <w:multiLevelType w:val="hybridMultilevel"/>
    <w:lvl w:ilvl="0">
      <w:lvlJc w:val="left"/>
      <w:lvlText w:val="%1"/>
      <w:numFmt w:val="lowerRoman"/>
      <w:start w:val="1"/>
    </w:lvl>
    <w:lvl w:ilvl="1">
      <w:lvlJc w:val="left"/>
      <w:lvlText w:val="(%2)"/>
      <w:numFmt w:val="lowerLetter"/>
      <w:start w:val="7"/>
    </w:lvl>
  </w:abstractNum>
  <w:abstractNum w:abstractNumId="27">
    <w:nsid w:val="684A481A"/>
    <w:multiLevelType w:val="hybridMultilevel"/>
    <w:lvl w:ilvl="0">
      <w:lvlJc w:val="left"/>
      <w:lvlText w:val="(%1)"/>
      <w:numFmt w:val="lowerRoman"/>
      <w:start w:val="8"/>
    </w:lvl>
    <w:lvl w:ilvl="1">
      <w:lvlJc w:val="left"/>
      <w:lvlText w:val="%2"/>
      <w:numFmt w:val="lowerLetter"/>
      <w:start w:val="1"/>
    </w:lvl>
  </w:abstractNum>
  <w:abstractNum w:abstractNumId="28">
    <w:nsid w:val="579478FE"/>
    <w:multiLevelType w:val="hybridMultilevel"/>
    <w:lvl w:ilvl="0">
      <w:lvlJc w:val="left"/>
      <w:lvlText w:val="(%1)"/>
      <w:numFmt w:val="lowerLetter"/>
      <w:start w:val="9"/>
    </w:lvl>
  </w:abstractNum>
  <w:abstractNum w:abstractNumId="29">
    <w:nsid w:val="749ABB43"/>
    <w:multiLevelType w:val="hybridMultilevel"/>
    <w:lvl w:ilvl="0">
      <w:lvlJc w:val="left"/>
      <w:lvlText w:val="(%1)"/>
      <w:numFmt w:val="lowerLetter"/>
      <w:start w:val="13"/>
    </w:lvl>
  </w:abstractNum>
  <w:abstractNum w:abstractNumId="30">
    <w:nsid w:val="3DC240FB"/>
    <w:multiLevelType w:val="hybridMultilevel"/>
    <w:lvl w:ilvl="0">
      <w:lvlJc w:val="left"/>
      <w:lvlText w:val="(%1)"/>
      <w:numFmt w:val="lowerLetter"/>
      <w:start w:val="17"/>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2"/>
    </w:lvl>
  </w:abstractNum>
  <w:abstractNum w:abstractNumId="33">
    <w:nsid w:val="75C6C33A"/>
    <w:multiLevelType w:val="hybridMultilevel"/>
    <w:lvl w:ilvl="0">
      <w:lvlJc w:val="left"/>
      <w:lvlText w:val="(%1)"/>
      <w:numFmt w:val="lowerLetter"/>
      <w:start w:val="7"/>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3"/>
    </w:lvl>
  </w:abstractNum>
  <w:abstractNum w:abstractNumId="36">
    <w:nsid w:val="520EEDD1"/>
    <w:multiLevelType w:val="hybridMultilevel"/>
    <w:lvl w:ilvl="0">
      <w:lvlJc w:val="left"/>
      <w:lvlText w:val="(%1)"/>
      <w:numFmt w:val="lowerLetter"/>
      <w:start w:val="1"/>
    </w:lvl>
    <w:lvl w:ilvl="1">
      <w:lvlJc w:val="left"/>
      <w:lvlText w:val="%2."/>
      <w:numFmt w:val="lowerRoman"/>
      <w:start w:val="1"/>
    </w:lvl>
  </w:abstractNum>
  <w:abstractNum w:abstractNumId="37">
    <w:nsid w:val="374A3FE6"/>
    <w:multiLevelType w:val="hybridMultilevel"/>
    <w:lvl w:ilvl="0">
      <w:lvlJc w:val="left"/>
      <w:lvlText w:val="%1"/>
      <w:numFmt w:val="lowerLetter"/>
      <w:start w:val="1"/>
    </w:lvl>
    <w:lvl w:ilvl="1">
      <w:lvlJc w:val="left"/>
      <w:lvlText w:val="%2."/>
      <w:numFmt w:val="lowerRoman"/>
      <w:start w:val="2"/>
    </w:lvl>
  </w:abstractNum>
  <w:abstractNum w:abstractNumId="38">
    <w:nsid w:val="4F4EF005"/>
    <w:multiLevelType w:val="hybridMultilevel"/>
    <w:lvl w:ilvl="0">
      <w:lvlJc w:val="left"/>
      <w:lvlText w:val="(%1)"/>
      <w:numFmt w:val="lowerLetter"/>
      <w:start w:val="2"/>
    </w:lvl>
    <w:lvl w:ilvl="1">
      <w:lvlJc w:val="left"/>
      <w:lvlText w:val="%2"/>
      <w:numFmt w:val="lowerRoman"/>
      <w:start w:val="1"/>
    </w:lvl>
  </w:abstractNum>
  <w:abstractNum w:abstractNumId="39">
    <w:nsid w:val="23F9C13C"/>
    <w:multiLevelType w:val="hybridMultilevel"/>
    <w:lvl w:ilvl="0">
      <w:lvlJc w:val="left"/>
      <w:lvlText w:val="(%1)"/>
      <w:numFmt w:val="lowerLetter"/>
      <w:start w:val="5"/>
    </w:lvl>
  </w:abstractNum>
  <w:abstractNum w:abstractNumId="40">
    <w:nsid w:val="649BB77C"/>
    <w:multiLevelType w:val="hybridMultilevel"/>
    <w:lvl w:ilvl="0">
      <w:lvlJc w:val="left"/>
      <w:lvlText w:val="(%1)"/>
      <w:numFmt w:val="lowerLetter"/>
      <w:start w:val="2"/>
    </w:lvl>
  </w:abstractNum>
  <w:abstractNum w:abstractNumId="41">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39386575"/>
    <w:multiLevelType w:val="hybridMultilevel"/>
    <w:lvl w:ilvl="0">
      <w:lvlJc w:val="left"/>
      <w:lvlText w:val="%1."/>
      <w:numFmt w:val="lowerRoman"/>
      <w:start w:val="5"/>
    </w:lvl>
  </w:abstractNum>
  <w:abstractNum w:abstractNumId="43">
    <w:nsid w:val="1CF10FD8"/>
    <w:multiLevelType w:val="hybridMultilevel"/>
    <w:lvl w:ilvl="0">
      <w:lvlJc w:val="left"/>
      <w:lvlText w:val="%1."/>
      <w:numFmt w:val="lowerRoman"/>
      <w:start w:val="12"/>
    </w:lvl>
  </w:abstractNum>
  <w:abstractNum w:abstractNumId="44">
    <w:nsid w:val="180115BE"/>
    <w:multiLevelType w:val="hybridMultilevel"/>
    <w:lvl w:ilvl="0">
      <w:lvlJc w:val="left"/>
      <w:lvlText w:val="1"/>
      <w:numFmt w:val="bullet"/>
      <w:start w:val="1"/>
    </w:lvl>
  </w:abstractNum>
  <w:abstractNum w:abstractNumId="45">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4"/>
    </w:lvl>
  </w:abstractNum>
  <w:abstractNum w:abstractNumId="46">
    <w:nsid w:val="47398C8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354FE9F9"/>
    <w:multiLevelType w:val="hybridMultilevel"/>
    <w:lvl w:ilvl="0">
      <w:lvlJc w:val="left"/>
      <w:lvlText w:val="(%1)"/>
      <w:numFmt w:val="lowerLetter"/>
      <w:start w:val="3"/>
    </w:lvl>
  </w:abstractNum>
  <w:abstractNum w:abstractNumId="48">
    <w:nsid w:val="15B5AF5C"/>
    <w:multiLevelType w:val="hybridMultilevel"/>
    <w:lvl w:ilvl="0">
      <w:lvlJc w:val="left"/>
      <w:lvlText w:val="%1"/>
      <w:numFmt w:val="decimal"/>
      <w:start w:val="1"/>
    </w:lvl>
    <w:lvl w:ilvl="1">
      <w:lvlJc w:val="left"/>
      <w:lvlText w:val="(%2)"/>
      <w:numFmt w:val="lowerLetter"/>
      <w:start w:val="13"/>
    </w:lvl>
  </w:abstractNum>
  <w:abstractNum w:abstractNumId="49">
    <w:nsid w:val="741226BB"/>
    <w:multiLevelType w:val="hybridMultilevel"/>
    <w:lvl w:ilvl="0">
      <w:lvlJc w:val="left"/>
      <w:lvlText w:val="%1."/>
      <w:numFmt w:val="decimal"/>
      <w:start w:val="6"/>
    </w:lvl>
    <w:lvl w:ilvl="1">
      <w:lvlJc w:val="left"/>
      <w:lvlText w:val="(%2)"/>
      <w:numFmt w:val="lowerLetter"/>
      <w:start w:val="1"/>
    </w:lvl>
  </w:abstractNum>
  <w:abstractNum w:abstractNumId="50">
    <w:nsid w:val="D34B6A8"/>
    <w:multiLevelType w:val="hybridMultilevel"/>
    <w:lvl w:ilvl="0">
      <w:lvlJc w:val="left"/>
      <w:lvlText w:val="%1."/>
      <w:numFmt w:val="decimal"/>
      <w:start w:val="8"/>
    </w:lvl>
    <w:lvl w:ilvl="1">
      <w:lvlJc w:val="left"/>
      <w:lvlText w:val="(%2)"/>
      <w:numFmt w:val="lowerLetter"/>
      <w:start w:val="1"/>
    </w:lvl>
  </w:abstractNum>
  <w:abstractNum w:abstractNumId="51">
    <w:nsid w:val="10233C99"/>
    <w:multiLevelType w:val="hybridMultilevel"/>
    <w:lvl w:ilvl="0">
      <w:lvlJc w:val="left"/>
      <w:lvlText w:val="(%1)"/>
      <w:numFmt w:val="lowerLetter"/>
      <w:start w:val="6"/>
    </w:lvl>
  </w:abstractNum>
  <w:abstractNum w:abstractNumId="52">
    <w:nsid w:val="3F6AB60F"/>
    <w:multiLevelType w:val="hybridMultilevel"/>
    <w:lvl w:ilvl="0">
      <w:lvlJc w:val="left"/>
      <w:lvlText w:val="(%1)"/>
      <w:numFmt w:val="lowerRoman"/>
      <w:start w:val="2"/>
    </w:lvl>
  </w:abstractNum>
  <w:abstractNum w:abstractNumId="53">
    <w:nsid w:val="61574095"/>
    <w:multiLevelType w:val="hybridMultilevel"/>
    <w:lvl w:ilvl="0">
      <w:lvlJc w:val="left"/>
      <w:lvlText w:val="(%1)"/>
      <w:numFmt w:val="lowerRoman"/>
      <w:start w:val="4"/>
    </w:lvl>
    <w:lvl w:ilvl="1">
      <w:lvlJc w:val="left"/>
      <w:lvlText w:val="(%2)"/>
      <w:numFmt w:val="upperLetter"/>
      <w:start w:val="9"/>
    </w:lvl>
  </w:abstractNum>
  <w:abstractNum w:abstractNumId="54">
    <w:nsid w:val="7E0C57B1"/>
    <w:multiLevelType w:val="hybridMultilevel"/>
    <w:lvl w:ilvl="0">
      <w:lvlJc w:val="left"/>
      <w:lvlText w:val="(%1)"/>
      <w:numFmt w:val="upperLetter"/>
      <w:start w:val="35"/>
    </w:lvl>
  </w:abstractNum>
  <w:abstractNum w:abstractNumId="55">
    <w:nsid w:val="77AE35EB"/>
    <w:multiLevelType w:val="hybridMultilevel"/>
    <w:lvl w:ilvl="0">
      <w:lvlJc w:val="left"/>
      <w:lvlText w:val="(%1)"/>
      <w:numFmt w:val="upperLetter"/>
      <w:start w:val="61"/>
    </w:lvl>
  </w:abstractNum>
  <w:abstractNum w:abstractNumId="56">
    <w:nsid w:val="579BE4F1"/>
    <w:multiLevelType w:val="hybridMultilevel"/>
    <w:lvl w:ilvl="0">
      <w:lvlJc w:val="left"/>
      <w:lvlText w:val="%1"/>
      <w:numFmt w:val="lowerLetter"/>
      <w:start w:val="1"/>
    </w:lvl>
    <w:lvl w:ilvl="1">
      <w:lvlJc w:val="left"/>
      <w:lvlText w:val="(%2)"/>
      <w:numFmt w:val="upperLetter"/>
      <w:start w:val="22"/>
    </w:lvl>
  </w:abstractNum>
  <w:abstractNum w:abstractNumId="57">
    <w:nsid w:val="310C50B3"/>
    <w:multiLevelType w:val="hybridMultilevel"/>
    <w:lvl w:ilvl="0">
      <w:lvlJc w:val="left"/>
      <w:lvlText w:val="(%1)"/>
      <w:numFmt w:val="lowerLetter"/>
      <w:start w:val="8"/>
    </w:lvl>
    <w:lvl w:ilvl="1">
      <w:lvlJc w:val="left"/>
      <w:lvlText w:val="%2"/>
      <w:numFmt w:val="upperLetter"/>
      <w:start w:val="1"/>
    </w:lvl>
  </w:abstractNum>
  <w:abstractNum w:abstractNumId="58">
    <w:nsid w:val="5FF87E05"/>
    <w:multiLevelType w:val="hybridMultilevel"/>
    <w:lvl w:ilvl="0">
      <w:lvlJc w:val="left"/>
      <w:lvlText w:val="(%1)"/>
      <w:numFmt w:val="lowerLetter"/>
      <w:start w:val="9"/>
    </w:lvl>
  </w:abstractNum>
  <w:abstractNum w:abstractNumId="59">
    <w:nsid w:val="2F305DEF"/>
    <w:multiLevelType w:val="hybridMultilevel"/>
    <w:lvl w:ilvl="0">
      <w:lvlJc w:val="left"/>
      <w:lvlText w:val="%1"/>
      <w:numFmt w:val="decimal"/>
      <w:start w:val="1"/>
    </w:lvl>
    <w:lvl w:ilvl="1">
      <w:lvlJc w:val="left"/>
      <w:lvlText w:val="(%2)"/>
      <w:numFmt w:val="lowerLetter"/>
      <w:start w:val="11"/>
    </w:lvl>
  </w:abstractNum>
  <w:abstractNum w:abstractNumId="60">
    <w:nsid w:val="25A70BF7"/>
    <w:multiLevelType w:val="hybridMultilevel"/>
    <w:lvl w:ilvl="0">
      <w:lvlJc w:val="left"/>
      <w:lvlText w:val="%1."/>
      <w:numFmt w:val="decimal"/>
      <w:start w:val="9"/>
    </w:lvl>
    <w:lvl w:ilvl="1">
      <w:lvlJc w:val="left"/>
      <w:lvlText w:val="(%2)"/>
      <w:numFmt w:val="lowerLetter"/>
      <w:start w:val="1"/>
    </w:lvl>
  </w:abstractNum>
  <w:abstractNum w:abstractNumId="61">
    <w:nsid w:val="1DBABF00"/>
    <w:multiLevelType w:val="hybridMultilevel"/>
    <w:lvl w:ilvl="0">
      <w:lvlJc w:val="left"/>
      <w:lvlText w:val="%1"/>
      <w:numFmt w:val="decimal"/>
      <w:start w:val="1"/>
    </w:lvl>
    <w:lvl w:ilvl="1">
      <w:lvlJc w:val="left"/>
      <w:lvlText w:val="(%2)"/>
      <w:numFmt w:val="lowerLetter"/>
      <w:start w:val="6"/>
    </w:lvl>
  </w:abstractNum>
  <w:abstractNum w:abstractNumId="62">
    <w:nsid w:val="4AD084E9"/>
    <w:multiLevelType w:val="hybridMultilevel"/>
    <w:lvl w:ilvl="0">
      <w:lvlJc w:val="left"/>
      <w:lvlText w:val="%1."/>
      <w:numFmt w:val="decimal"/>
      <w:start w:val="10"/>
    </w:lvl>
    <w:lvl w:ilvl="1">
      <w:lvlJc w:val="left"/>
      <w:lvlText w:val="%2"/>
      <w:numFmt w:val="lowerLetter"/>
      <w:start w:val="1"/>
    </w:lvl>
  </w:abstractNum>
  <w:abstractNum w:abstractNumId="63">
    <w:nsid w:val="1F48EAA1"/>
    <w:multiLevelType w:val="hybridMultilevel"/>
    <w:lvl w:ilvl="0">
      <w:lvlJc w:val="left"/>
      <w:lvlText w:val="%1"/>
      <w:numFmt w:val="lowerLetter"/>
      <w:start w:val="1"/>
    </w:lvl>
    <w:lvl w:ilvl="1">
      <w:lvlJc w:val="left"/>
      <w:lvlText w:val="(%2)"/>
      <w:numFmt w:val="lowerLetter"/>
      <w:start w:val="1"/>
    </w:lvl>
  </w:abstractNum>
  <w:abstractNum w:abstractNumId="64">
    <w:nsid w:val="1381823A"/>
    <w:multiLevelType w:val="hybridMultilevel"/>
    <w:lvl w:ilvl="0">
      <w:lvlJc w:val="left"/>
      <w:lvlText w:val="(%1)"/>
      <w:numFmt w:val="lowerLetter"/>
      <w:start w:val="3"/>
    </w:lvl>
    <w:lvl w:ilvl="1">
      <w:lvlJc w:val="left"/>
      <w:lvlText w:val="%2"/>
      <w:numFmt w:val="lowerLetter"/>
      <w:start w:val="1"/>
    </w:lvl>
  </w:abstractNum>
  <w:abstractNum w:abstractNumId="65">
    <w:nsid w:val="5DB70AE5"/>
    <w:multiLevelType w:val="hybridMultilevel"/>
    <w:lvl w:ilvl="0">
      <w:lvlJc w:val="left"/>
      <w:lvlText w:val="(%1)"/>
      <w:numFmt w:val="lowerLetter"/>
      <w:start w:val="4"/>
    </w:lvl>
  </w:abstractNum>
  <w:abstractNum w:abstractNumId="66">
    <w:nsid w:val="100F8FCA"/>
    <w:multiLevelType w:val="hybridMultilevel"/>
    <w:lvl w:ilvl="0">
      <w:lvlJc w:val="left"/>
      <w:lvlText w:val="%1."/>
      <w:numFmt w:val="decimal"/>
      <w:start w:val="11"/>
    </w:lvl>
    <w:lvl w:ilvl="1">
      <w:lvlJc w:val="left"/>
      <w:lvlText w:val="(%2)"/>
      <w:numFmt w:val="lowerRoman"/>
      <w:start w:val="1"/>
    </w:lvl>
  </w:abstractNum>
  <w:abstractNum w:abstractNumId="67">
    <w:nsid w:val="6590700B"/>
    <w:multiLevelType w:val="hybridMultilevel"/>
    <w:lvl w:ilvl="0">
      <w:lvlJc w:val="left"/>
      <w:lvlText w:val="(%1)"/>
      <w:numFmt w:val="lowerRoman"/>
      <w:start w:val="2"/>
    </w:lvl>
  </w:abstractNum>
  <w:abstractNum w:abstractNumId="68">
    <w:nsid w:val="15014ACB"/>
    <w:multiLevelType w:val="hybridMultilevel"/>
    <w:lvl w:ilvl="0">
      <w:lvlJc w:val="left"/>
      <w:lvlText w:val="%1."/>
      <w:numFmt w:val="decimal"/>
      <w:start w:val="14"/>
    </w:lvl>
    <w:lvl w:ilvl="1">
      <w:lvlJc w:val="left"/>
      <w:lvlText w:val="(%2)"/>
      <w:numFmt w:val="lowerLetter"/>
      <w:start w:val="1"/>
    </w:lvl>
  </w:abstractNum>
  <w:abstractNum w:abstractNumId="69">
    <w:nsid w:val="5F5E7FD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2026-03-05T15:17:10Z</dcterms:created>
  <dcterms:modified xsi:type="dcterms:W3CDTF">2026-03-05T15:17:10Z</dcterms:modified>
</cp:coreProperties>
</file>