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bdr w:val="single" w:sz="16" w:space="1" w:color="000000"/>
        </w:rPr>
      </w:pPr>
      <w:bookmarkStart w:id="0" w:name="f10q0322_larkspurhealth.htm"/>
      <w:bookmarkStart w:id="1" w:name="ksf10q0322_larkspurhealth"/>
      <w:bookmarkEnd w:id="0"/>
      <w:bookmarkEnd w:id="1"/>
      <w:r>
        <w:rPr>
          <w:caps w:val="false"/>
          <w:smallCaps w:val="false"/>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w:t>
      </w:r>
      <w:r>
        <w:rPr>
          <w:rFonts w:ascii="Times New Roman;Times;Serif" w:hAnsi="Times New Roman;Times;Serif"/>
          <w:b w:val="false"/>
          <w:i w:val="false"/>
          <w:caps w:val="false"/>
          <w:smallCaps w:val="false"/>
          <w:sz w:val="20"/>
        </w:rPr>
        <w:t> </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 __________</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001-41184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LARKSPUR HEALTH Acquisition Corp.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pacing w:before="0" w:after="0"/>
        <w:ind w:left="0" w:right="0" w:hanging="0"/>
        <w:jc w:val="both"/>
        <w:rPr>
          <w:caps w:val="false"/>
          <w:smallCaps w:val="false"/>
        </w:rPr>
      </w:pPr>
      <w:r>
        <w:rPr>
          <w:caps w:val="false"/>
          <w:smallCaps w:val="false"/>
        </w:rPr>
        <w:t> </w:t>
      </w:r>
    </w:p>
    <w:tbl>
      <w:tblPr>
        <w:tblW w:w="4690" w:type="dxa"/>
        <w:jc w:val="left"/>
        <w:tblInd w:w="0" w:type="dxa"/>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shd w:fill="auto" w:val="clear"/>
            <w:vAlign w:val="center"/>
          </w:tcPr>
          <w:p>
            <w:pPr>
              <w:pStyle w:val="TableContents"/>
              <w:spacing w:before="0" w:after="283"/>
              <w:jc w:val="center"/>
              <w:rPr>
                <w:b/>
                <w:sz w:val="20"/>
              </w:rPr>
            </w:pPr>
            <w:r>
              <w:rPr>
                <w:b/>
                <w:sz w:val="20"/>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970" w:type="dxa"/>
            <w:tcBorders>
              <w:bottom w:val="single" w:sz="12" w:space="0" w:color="000000"/>
            </w:tcBorders>
            <w:shd w:fill="auto" w:val="clear"/>
            <w:vAlign w:val="center"/>
          </w:tcPr>
          <w:p>
            <w:pPr>
              <w:pStyle w:val="TableContents"/>
              <w:spacing w:before="0" w:after="283"/>
              <w:jc w:val="center"/>
              <w:rPr>
                <w:b/>
                <w:sz w:val="20"/>
              </w:rPr>
            </w:pPr>
            <w:r>
              <w:rPr>
                <w:b/>
                <w:sz w:val="20"/>
              </w:rPr>
              <w:t>86-2685744</w:t>
            </w:r>
          </w:p>
        </w:tc>
      </w:tr>
      <w:tr>
        <w:trPr/>
        <w:tc>
          <w:tcPr>
            <w:tcW w:w="2660" w:type="dxa"/>
            <w:tcBorders/>
            <w:shd w:fill="auto" w:val="clear"/>
            <w:tcMar>
              <w:bottom w:w="0" w:type="dxa"/>
            </w:tcMar>
            <w:vAlign w:val="center"/>
          </w:tcPr>
          <w:p>
            <w:pPr>
              <w:pStyle w:val="TableContents"/>
              <w:spacing w:before="0" w:after="283"/>
              <w:jc w:val="center"/>
              <w:rPr>
                <w:b/>
                <w:sz w:val="20"/>
              </w:rPr>
            </w:pPr>
            <w:r>
              <w:rPr>
                <w:b/>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97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spacing w:before="0" w:after="0"/>
        <w:ind w:left="0" w:right="0" w:hanging="0"/>
        <w:rPr>
          <w:caps w:val="false"/>
          <w:smallCaps w:val="false"/>
        </w:rPr>
      </w:pPr>
      <w:r>
        <w:rPr>
          <w:caps w:val="false"/>
          <w:smallCaps w:val="false"/>
        </w:rPr>
        <w:t> </w:t>
      </w:r>
    </w:p>
    <w:tbl>
      <w:tblPr>
        <w:tblW w:w="4495" w:type="dxa"/>
        <w:jc w:val="left"/>
        <w:tblInd w:w="0" w:type="dxa"/>
        <w:tblCellMar>
          <w:top w:w="0" w:type="dxa"/>
          <w:left w:w="0" w:type="dxa"/>
          <w:bottom w:w="28" w:type="dxa"/>
          <w:right w:w="0" w:type="dxa"/>
        </w:tblCellMar>
      </w:tblPr>
      <w:tblGrid>
        <w:gridCol w:w="3500"/>
        <w:gridCol w:w="60"/>
        <w:gridCol w:w="935"/>
      </w:tblGrid>
      <w:tr>
        <w:trPr/>
        <w:tc>
          <w:tcPr>
            <w:tcW w:w="3500" w:type="dxa"/>
            <w:tcBorders>
              <w:bottom w:val="single" w:sz="12" w:space="0" w:color="000000"/>
            </w:tcBorders>
            <w:shd w:fill="auto" w:val="clear"/>
            <w:vAlign w:val="center"/>
          </w:tcPr>
          <w:p>
            <w:pPr>
              <w:pStyle w:val="TableContents"/>
              <w:spacing w:before="0" w:after="283"/>
              <w:jc w:val="center"/>
              <w:rPr>
                <w:b/>
                <w:sz w:val="20"/>
              </w:rPr>
            </w:pPr>
            <w:r>
              <w:rPr>
                <w:b/>
                <w:sz w:val="20"/>
              </w:rPr>
              <w:t>100 Somerset Corporate Blvd., 2</w:t>
            </w:r>
            <w:r>
              <w:rPr>
                <w:b/>
                <w:position w:val="7"/>
                <w:sz w:val="16"/>
                <w:sz w:val="20"/>
              </w:rPr>
              <w:t>nd</w:t>
            </w:r>
            <w:r>
              <w:rPr>
                <w:b/>
                <w:sz w:val="20"/>
              </w:rPr>
              <w:t> Floor</w:t>
              <w:br/>
              <w:t xml:space="preserve">Bridgewater, New Jersey </w:t>
            </w:r>
          </w:p>
        </w:tc>
        <w:tc>
          <w:tcPr>
            <w:tcW w:w="60" w:type="dxa"/>
            <w:tcBorders/>
            <w:shd w:fill="auto" w:val="clear"/>
            <w:tcMar>
              <w:bottom w:w="0" w:type="dxa"/>
            </w:tcMar>
            <w:vAlign w:val="center"/>
          </w:tcPr>
          <w:p>
            <w:pPr>
              <w:pStyle w:val="TableContents"/>
              <w:spacing w:before="0" w:after="283"/>
              <w:jc w:val="center"/>
              <w:rPr/>
            </w:pPr>
            <w:r>
              <w:rPr/>
              <w:t> </w:t>
            </w:r>
          </w:p>
        </w:tc>
        <w:tc>
          <w:tcPr>
            <w:tcW w:w="935" w:type="dxa"/>
            <w:tcBorders>
              <w:bottom w:val="single" w:sz="12" w:space="0" w:color="000000"/>
            </w:tcBorders>
            <w:shd w:fill="auto" w:val="clear"/>
            <w:vAlign w:val="center"/>
          </w:tcPr>
          <w:p>
            <w:pPr>
              <w:pStyle w:val="TableContents"/>
              <w:spacing w:before="0" w:after="283"/>
              <w:jc w:val="center"/>
              <w:rPr>
                <w:b/>
                <w:sz w:val="20"/>
              </w:rPr>
            </w:pPr>
            <w:r>
              <w:rPr>
                <w:b/>
                <w:sz w:val="20"/>
              </w:rPr>
              <w:t>08807</w:t>
            </w:r>
          </w:p>
        </w:tc>
      </w:tr>
      <w:tr>
        <w:trPr/>
        <w:tc>
          <w:tcPr>
            <w:tcW w:w="3500" w:type="dxa"/>
            <w:tcBorders/>
            <w:shd w:fill="auto" w:val="clear"/>
            <w:tcMar>
              <w:bottom w:w="0" w:type="dxa"/>
            </w:tcMar>
            <w:vAlign w:val="center"/>
          </w:tcPr>
          <w:p>
            <w:pPr>
              <w:pStyle w:val="TableContents"/>
              <w:spacing w:before="0" w:after="283"/>
              <w:jc w:val="center"/>
              <w:rPr>
                <w:b/>
                <w:sz w:val="20"/>
              </w:rPr>
            </w:pPr>
            <w:r>
              <w:rPr>
                <w:b/>
                <w:sz w:val="20"/>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935" w:type="dxa"/>
            <w:tcBorders/>
            <w:shd w:fill="auto" w:val="clear"/>
            <w:tcMar>
              <w:bottom w:w="0" w:type="dxa"/>
            </w:tcMar>
            <w:vAlign w:val="center"/>
          </w:tcPr>
          <w:p>
            <w:pPr>
              <w:pStyle w:val="TableContents"/>
              <w:spacing w:before="0" w:after="283"/>
              <w:jc w:val="center"/>
              <w:rPr>
                <w:b/>
                <w:sz w:val="20"/>
              </w:rPr>
            </w:pPr>
            <w:r>
              <w:rPr>
                <w:b/>
                <w:sz w:val="20"/>
              </w:rPr>
              <w:t>(Zip Code)</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(609) 310-0722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356"/>
        <w:gridCol w:w="60"/>
        <w:gridCol w:w="1229"/>
        <w:gridCol w:w="60"/>
        <w:gridCol w:w="2500"/>
      </w:tblGrid>
      <w:tr>
        <w:trPr/>
        <w:tc>
          <w:tcPr>
            <w:tcW w:w="6356"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229" w:type="dxa"/>
            <w:tcBorders>
              <w:bottom w:val="single" w:sz="12"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2500" w:type="dxa"/>
            <w:tcBorders>
              <w:bottom w:val="single" w:sz="12"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6356" w:type="dxa"/>
            <w:tcBorders/>
            <w:shd w:fill="CCEEFF" w:val="clear"/>
            <w:tcMar>
              <w:bottom w:w="0" w:type="dxa"/>
            </w:tcMar>
            <w:vAlign w:val="center"/>
          </w:tcPr>
          <w:p>
            <w:pPr>
              <w:pStyle w:val="TableContents"/>
              <w:spacing w:before="0" w:after="283"/>
              <w:jc w:val="center"/>
              <w:rPr>
                <w:sz w:val="20"/>
              </w:rPr>
            </w:pPr>
            <w:r>
              <w:rPr>
                <w:sz w:val="20"/>
              </w:rPr>
              <w:t>Units, each consisting of one share of Class A Common Stock, $0.0001 par value, and three-fourths of one Redeemable Warrant</w:t>
            </w:r>
          </w:p>
        </w:tc>
        <w:tc>
          <w:tcPr>
            <w:tcW w:w="60" w:type="dxa"/>
            <w:tcBorders/>
            <w:shd w:fill="CCEEFF" w:val="clear"/>
            <w:tcMar>
              <w:bottom w:w="0" w:type="dxa"/>
            </w:tcMar>
            <w:vAlign w:val="center"/>
          </w:tcPr>
          <w:p>
            <w:pPr>
              <w:pStyle w:val="TableContents"/>
              <w:spacing w:before="0" w:after="283"/>
              <w:jc w:val="center"/>
              <w:rPr/>
            </w:pPr>
            <w:r>
              <w:rPr/>
              <w:t> </w:t>
            </w:r>
          </w:p>
        </w:tc>
        <w:tc>
          <w:tcPr>
            <w:tcW w:w="1229" w:type="dxa"/>
            <w:tcBorders/>
            <w:shd w:fill="CCEEFF" w:val="clear"/>
            <w:tcMar>
              <w:bottom w:w="0" w:type="dxa"/>
            </w:tcMar>
            <w:vAlign w:val="center"/>
          </w:tcPr>
          <w:p>
            <w:pPr>
              <w:pStyle w:val="TableContents"/>
              <w:spacing w:before="0" w:after="283"/>
              <w:jc w:val="center"/>
              <w:rPr>
                <w:sz w:val="20"/>
              </w:rPr>
            </w:pPr>
            <w:r>
              <w:rPr>
                <w:sz w:val="20"/>
              </w:rPr>
              <w:t>LSPRU</w:t>
            </w:r>
          </w:p>
        </w:tc>
        <w:tc>
          <w:tcPr>
            <w:tcW w:w="60" w:type="dxa"/>
            <w:tcBorders/>
            <w:shd w:fill="CCEEFF" w:val="clear"/>
            <w:tcMar>
              <w:bottom w:w="0" w:type="dxa"/>
            </w:tcMar>
            <w:vAlign w:val="center"/>
          </w:tcPr>
          <w:p>
            <w:pPr>
              <w:pStyle w:val="TableContents"/>
              <w:spacing w:before="0" w:after="283"/>
              <w:jc w:val="center"/>
              <w:rPr/>
            </w:pPr>
            <w:r>
              <w:rPr/>
              <w:t> </w:t>
            </w:r>
          </w:p>
        </w:tc>
        <w:tc>
          <w:tcPr>
            <w:tcW w:w="2500" w:type="dxa"/>
            <w:tcBorders/>
            <w:shd w:fill="CCEEFF" w:val="clear"/>
            <w:tcMar>
              <w:bottom w:w="0" w:type="dxa"/>
            </w:tcMar>
            <w:vAlign w:val="center"/>
          </w:tcPr>
          <w:p>
            <w:pPr>
              <w:pStyle w:val="TableContents"/>
              <w:spacing w:before="0" w:after="283"/>
              <w:jc w:val="center"/>
              <w:rPr>
                <w:sz w:val="20"/>
              </w:rPr>
            </w:pPr>
            <w:r>
              <w:rPr>
                <w:sz w:val="20"/>
              </w:rPr>
              <w:t>The Nasdaq Stock Market LLC</w:t>
            </w:r>
          </w:p>
        </w:tc>
      </w:tr>
      <w:tr>
        <w:trPr/>
        <w:tc>
          <w:tcPr>
            <w:tcW w:w="635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29"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500" w:type="dxa"/>
            <w:tcBorders/>
            <w:shd w:fill="auto" w:val="clear"/>
            <w:tcMar>
              <w:bottom w:w="0" w:type="dxa"/>
            </w:tcMar>
            <w:vAlign w:val="center"/>
          </w:tcPr>
          <w:p>
            <w:pPr>
              <w:pStyle w:val="TableContents"/>
              <w:spacing w:before="0" w:after="283"/>
              <w:jc w:val="center"/>
              <w:rPr/>
            </w:pPr>
            <w:r>
              <w:rPr/>
              <w:t> </w:t>
            </w:r>
          </w:p>
        </w:tc>
      </w:tr>
      <w:tr>
        <w:trPr/>
        <w:tc>
          <w:tcPr>
            <w:tcW w:w="6356" w:type="dxa"/>
            <w:tcBorders/>
            <w:shd w:fill="CCEEFF" w:val="clear"/>
            <w:tcMar>
              <w:bottom w:w="0" w:type="dxa"/>
            </w:tcMar>
            <w:vAlign w:val="center"/>
          </w:tcPr>
          <w:p>
            <w:pPr>
              <w:pStyle w:val="TableContents"/>
              <w:spacing w:before="0" w:after="283"/>
              <w:jc w:val="center"/>
              <w:rPr>
                <w:sz w:val="20"/>
              </w:rPr>
            </w:pPr>
            <w:r>
              <w:rPr>
                <w:sz w:val="20"/>
              </w:rPr>
              <w:t>Class A Common Stock, par value $0.0001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229" w:type="dxa"/>
            <w:tcBorders/>
            <w:shd w:fill="CCEEFF" w:val="clear"/>
            <w:tcMar>
              <w:bottom w:w="0" w:type="dxa"/>
            </w:tcMar>
            <w:vAlign w:val="center"/>
          </w:tcPr>
          <w:p>
            <w:pPr>
              <w:pStyle w:val="TableContents"/>
              <w:spacing w:before="0" w:after="283"/>
              <w:jc w:val="center"/>
              <w:rPr>
                <w:sz w:val="20"/>
              </w:rPr>
            </w:pPr>
            <w:r>
              <w:rPr>
                <w:sz w:val="20"/>
              </w:rPr>
              <w:t>LSPR</w:t>
            </w:r>
          </w:p>
        </w:tc>
        <w:tc>
          <w:tcPr>
            <w:tcW w:w="60" w:type="dxa"/>
            <w:tcBorders/>
            <w:shd w:fill="CCEEFF" w:val="clear"/>
            <w:tcMar>
              <w:bottom w:w="0" w:type="dxa"/>
            </w:tcMar>
            <w:vAlign w:val="center"/>
          </w:tcPr>
          <w:p>
            <w:pPr>
              <w:pStyle w:val="TableContents"/>
              <w:spacing w:before="0" w:after="283"/>
              <w:jc w:val="center"/>
              <w:rPr/>
            </w:pPr>
            <w:r>
              <w:rPr/>
              <w:t> </w:t>
            </w:r>
          </w:p>
        </w:tc>
        <w:tc>
          <w:tcPr>
            <w:tcW w:w="2500" w:type="dxa"/>
            <w:tcBorders/>
            <w:shd w:fill="CCEEFF" w:val="clear"/>
            <w:tcMar>
              <w:bottom w:w="0" w:type="dxa"/>
            </w:tcMar>
            <w:vAlign w:val="center"/>
          </w:tcPr>
          <w:p>
            <w:pPr>
              <w:pStyle w:val="TableContents"/>
              <w:spacing w:before="0" w:after="283"/>
              <w:jc w:val="center"/>
              <w:rPr>
                <w:sz w:val="20"/>
              </w:rPr>
            </w:pPr>
            <w:r>
              <w:rPr>
                <w:sz w:val="20"/>
              </w:rPr>
              <w:t>The Nasdaq Stock Market LLC</w:t>
            </w:r>
          </w:p>
        </w:tc>
      </w:tr>
      <w:tr>
        <w:trPr/>
        <w:tc>
          <w:tcPr>
            <w:tcW w:w="635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29"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500" w:type="dxa"/>
            <w:tcBorders/>
            <w:shd w:fill="auto" w:val="clear"/>
            <w:tcMar>
              <w:bottom w:w="0" w:type="dxa"/>
            </w:tcMar>
            <w:vAlign w:val="center"/>
          </w:tcPr>
          <w:p>
            <w:pPr>
              <w:pStyle w:val="TableContents"/>
              <w:spacing w:before="0" w:after="283"/>
              <w:jc w:val="center"/>
              <w:rPr/>
            </w:pPr>
            <w:r>
              <w:rPr/>
              <w:t> </w:t>
            </w:r>
          </w:p>
        </w:tc>
      </w:tr>
      <w:tr>
        <w:trPr/>
        <w:tc>
          <w:tcPr>
            <w:tcW w:w="6356" w:type="dxa"/>
            <w:tcBorders/>
            <w:shd w:fill="CCEEFF" w:val="clear"/>
            <w:tcMar>
              <w:bottom w:w="0" w:type="dxa"/>
            </w:tcMar>
            <w:vAlign w:val="center"/>
          </w:tcPr>
          <w:p>
            <w:pPr>
              <w:pStyle w:val="TableContents"/>
              <w:spacing w:before="0" w:after="283"/>
              <w:jc w:val="center"/>
              <w:rPr>
                <w:sz w:val="20"/>
              </w:rPr>
            </w:pPr>
            <w:r>
              <w:rPr>
                <w:sz w:val="20"/>
              </w:rPr>
              <w:t>Redeemable Warrants, each whole warrant exercisable for one share of Class A Common Stock at an exercise price of $11.50</w:t>
            </w:r>
          </w:p>
        </w:tc>
        <w:tc>
          <w:tcPr>
            <w:tcW w:w="60" w:type="dxa"/>
            <w:tcBorders/>
            <w:shd w:fill="CCEEFF" w:val="clear"/>
            <w:tcMar>
              <w:bottom w:w="0" w:type="dxa"/>
            </w:tcMar>
            <w:vAlign w:val="center"/>
          </w:tcPr>
          <w:p>
            <w:pPr>
              <w:pStyle w:val="TableContents"/>
              <w:spacing w:before="0" w:after="283"/>
              <w:jc w:val="center"/>
              <w:rPr/>
            </w:pPr>
            <w:r>
              <w:rPr/>
              <w:t> </w:t>
            </w:r>
          </w:p>
        </w:tc>
        <w:tc>
          <w:tcPr>
            <w:tcW w:w="1229" w:type="dxa"/>
            <w:tcBorders/>
            <w:shd w:fill="CCEEFF" w:val="clear"/>
            <w:tcMar>
              <w:bottom w:w="0" w:type="dxa"/>
            </w:tcMar>
            <w:vAlign w:val="center"/>
          </w:tcPr>
          <w:p>
            <w:pPr>
              <w:pStyle w:val="TableContents"/>
              <w:spacing w:before="0" w:after="283"/>
              <w:jc w:val="center"/>
              <w:rPr>
                <w:sz w:val="20"/>
              </w:rPr>
            </w:pPr>
            <w:r>
              <w:rPr>
                <w:sz w:val="20"/>
              </w:rPr>
              <w:t>LSPRW</w:t>
            </w:r>
          </w:p>
        </w:tc>
        <w:tc>
          <w:tcPr>
            <w:tcW w:w="60" w:type="dxa"/>
            <w:tcBorders/>
            <w:shd w:fill="CCEEFF" w:val="clear"/>
            <w:tcMar>
              <w:bottom w:w="0" w:type="dxa"/>
            </w:tcMar>
            <w:vAlign w:val="center"/>
          </w:tcPr>
          <w:p>
            <w:pPr>
              <w:pStyle w:val="TableContents"/>
              <w:spacing w:before="0" w:after="283"/>
              <w:jc w:val="center"/>
              <w:rPr/>
            </w:pPr>
            <w:r>
              <w:rPr/>
              <w:t> </w:t>
            </w:r>
          </w:p>
        </w:tc>
        <w:tc>
          <w:tcPr>
            <w:tcW w:w="2500" w:type="dxa"/>
            <w:tcBorders/>
            <w:shd w:fill="CCEEFF" w:val="clear"/>
            <w:tcMar>
              <w:bottom w:w="0" w:type="dxa"/>
            </w:tcMar>
            <w:vAlign w:val="center"/>
          </w:tcPr>
          <w:p>
            <w:pPr>
              <w:pStyle w:val="TableContents"/>
              <w:spacing w:before="0" w:after="283"/>
              <w:jc w:val="center"/>
              <w:rPr>
                <w:sz w:val="20"/>
              </w:rPr>
            </w:pPr>
            <w:r>
              <w:rPr>
                <w:sz w:val="20"/>
              </w:rPr>
              <w:t>The Nasdaq Stock Market LLC</w:t>
            </w:r>
          </w:p>
        </w:tc>
      </w:tr>
      <w:tr>
        <w:trPr/>
        <w:tc>
          <w:tcPr>
            <w:tcW w:w="635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29"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2500" w:type="dxa"/>
            <w:tcBorders/>
            <w:shd w:fill="auto" w:val="clear"/>
            <w:tcMar>
              <w:bottom w:w="0" w:type="dxa"/>
            </w:tcMar>
            <w:vAlign w:val="center"/>
          </w:tcPr>
          <w:p>
            <w:pPr>
              <w:pStyle w:val="TableContents"/>
              <w:spacing w:before="0" w:after="283"/>
              <w:jc w:val="center"/>
              <w:rPr/>
            </w:pPr>
            <w:r>
              <w:rPr/>
              <w:t> </w:t>
            </w:r>
          </w:p>
        </w:tc>
      </w:tr>
      <w:tr>
        <w:trPr/>
        <w:tc>
          <w:tcPr>
            <w:tcW w:w="6356" w:type="dxa"/>
            <w:tcBorders/>
            <w:shd w:fill="CCEEFF" w:val="clear"/>
            <w:tcMar>
              <w:bottom w:w="0" w:type="dxa"/>
            </w:tcMar>
            <w:vAlign w:val="center"/>
          </w:tcPr>
          <w:p>
            <w:pPr>
              <w:pStyle w:val="TableContents"/>
              <w:spacing w:before="0" w:after="283"/>
              <w:jc w:val="center"/>
              <w:rPr>
                <w:sz w:val="20"/>
              </w:rPr>
            </w:pPr>
            <w:r>
              <w:rPr>
                <w:sz w:val="20"/>
              </w:rPr>
              <w:t>Class B Common Stock, $0.0001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229" w:type="dxa"/>
            <w:tcBorders/>
            <w:shd w:fill="CCEEFF" w:val="clear"/>
            <w:tcMar>
              <w:bottom w:w="0" w:type="dxa"/>
            </w:tcMar>
            <w:vAlign w:val="center"/>
          </w:tcPr>
          <w:p>
            <w:pPr>
              <w:pStyle w:val="TableContents"/>
              <w:spacing w:before="0" w:after="283"/>
              <w:jc w:val="center"/>
              <w:rPr>
                <w:sz w:val="20"/>
              </w:rPr>
            </w:pPr>
            <w:r>
              <w:rPr>
                <w:sz w:val="20"/>
              </w:rPr>
              <w:t>[   ]</w:t>
            </w:r>
          </w:p>
        </w:tc>
        <w:tc>
          <w:tcPr>
            <w:tcW w:w="60" w:type="dxa"/>
            <w:tcBorders/>
            <w:shd w:fill="CCEEFF" w:val="clear"/>
            <w:tcMar>
              <w:bottom w:w="0" w:type="dxa"/>
            </w:tcMar>
            <w:vAlign w:val="center"/>
          </w:tcPr>
          <w:p>
            <w:pPr>
              <w:pStyle w:val="TableContents"/>
              <w:spacing w:before="0" w:after="283"/>
              <w:jc w:val="center"/>
              <w:rPr/>
            </w:pPr>
            <w:r>
              <w:rPr/>
              <w:t> </w:t>
            </w:r>
          </w:p>
        </w:tc>
        <w:tc>
          <w:tcPr>
            <w:tcW w:w="2500" w:type="dxa"/>
            <w:tcBorders/>
            <w:shd w:fill="CCEEFF" w:val="clear"/>
            <w:tcMar>
              <w:bottom w:w="0" w:type="dxa"/>
            </w:tcMar>
            <w:vAlign w:val="center"/>
          </w:tcPr>
          <w:p>
            <w:pPr>
              <w:pStyle w:val="TableContents"/>
              <w:spacing w:before="0" w:after="283"/>
              <w:jc w:val="center"/>
              <w:rPr>
                <w:sz w:val="20"/>
              </w:rPr>
            </w:pPr>
            <w:r>
              <w:rPr>
                <w:sz w:val="20"/>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940" w:type="dxa"/>
        <w:jc w:val="left"/>
        <w:tblInd w:w="0" w:type="dxa"/>
        <w:tblCellMar>
          <w:top w:w="0" w:type="dxa"/>
          <w:left w:w="0" w:type="dxa"/>
          <w:bottom w:w="0" w:type="dxa"/>
          <w:right w:w="0" w:type="dxa"/>
        </w:tblCellMar>
      </w:tblPr>
      <w:tblGrid>
        <w:gridCol w:w="2240"/>
        <w:gridCol w:w="230"/>
        <w:gridCol w:w="2225"/>
        <w:gridCol w:w="245"/>
      </w:tblGrid>
      <w:tr>
        <w:trPr/>
        <w:tc>
          <w:tcPr>
            <w:tcW w:w="2240" w:type="dxa"/>
            <w:tcBorders/>
            <w:shd w:fill="auto" w:val="clear"/>
            <w:vAlign w:val="center"/>
          </w:tcPr>
          <w:p>
            <w:pPr>
              <w:pStyle w:val="TableContents"/>
              <w:spacing w:before="0" w:after="283"/>
              <w:jc w:val="both"/>
              <w:rPr>
                <w:sz w:val="20"/>
              </w:rPr>
            </w:pPr>
            <w:r>
              <w:rPr>
                <w:sz w:val="20"/>
              </w:rPr>
              <w:t>Large accelerated filer</w:t>
            </w:r>
          </w:p>
        </w:tc>
        <w:tc>
          <w:tcPr>
            <w:tcW w:w="230" w:type="dxa"/>
            <w:tcBorders/>
            <w:shd w:fill="auto" w:val="clear"/>
            <w:vAlign w:val="center"/>
          </w:tcPr>
          <w:p>
            <w:pPr>
              <w:pStyle w:val="TableContents"/>
              <w:spacing w:before="0" w:after="283"/>
              <w:jc w:val="both"/>
              <w:rPr/>
            </w:pPr>
            <w:r>
              <w:rPr/>
              <w:t>☐</w:t>
            </w:r>
          </w:p>
        </w:tc>
        <w:tc>
          <w:tcPr>
            <w:tcW w:w="2225" w:type="dxa"/>
            <w:tcBorders/>
            <w:shd w:fill="auto" w:val="clear"/>
            <w:vAlign w:val="center"/>
          </w:tcPr>
          <w:p>
            <w:pPr>
              <w:pStyle w:val="TableContents"/>
              <w:spacing w:before="0" w:after="283"/>
              <w:jc w:val="both"/>
              <w:rPr>
                <w:sz w:val="20"/>
              </w:rPr>
            </w:pPr>
            <w:r>
              <w:rPr>
                <w:sz w:val="20"/>
              </w:rPr>
              <w:t>Accelerated filer</w:t>
            </w:r>
          </w:p>
        </w:tc>
        <w:tc>
          <w:tcPr>
            <w:tcW w:w="245" w:type="dxa"/>
            <w:tcBorders/>
            <w:shd w:fill="auto" w:val="clear"/>
            <w:vAlign w:val="center"/>
          </w:tcPr>
          <w:p>
            <w:pPr>
              <w:pStyle w:val="TableContents"/>
              <w:spacing w:before="0" w:after="283"/>
              <w:jc w:val="both"/>
              <w:rPr/>
            </w:pPr>
            <w:r>
              <w:rPr/>
              <w:t>☐</w:t>
            </w:r>
          </w:p>
        </w:tc>
      </w:tr>
      <w:tr>
        <w:trPr/>
        <w:tc>
          <w:tcPr>
            <w:tcW w:w="2240" w:type="dxa"/>
            <w:tcBorders/>
            <w:shd w:fill="auto" w:val="clear"/>
            <w:vAlign w:val="center"/>
          </w:tcPr>
          <w:p>
            <w:pPr>
              <w:pStyle w:val="TableContents"/>
              <w:spacing w:before="0" w:after="283"/>
              <w:jc w:val="both"/>
              <w:rPr>
                <w:sz w:val="20"/>
              </w:rPr>
            </w:pPr>
            <w:r>
              <w:rPr>
                <w:sz w:val="20"/>
              </w:rPr>
              <w:t>Non-accelerated filer</w:t>
            </w:r>
          </w:p>
        </w:tc>
        <w:tc>
          <w:tcPr>
            <w:tcW w:w="230" w:type="dxa"/>
            <w:tcBorders/>
            <w:shd w:fill="auto" w:val="clear"/>
            <w:vAlign w:val="center"/>
          </w:tcPr>
          <w:p>
            <w:pPr>
              <w:pStyle w:val="TableContents"/>
              <w:spacing w:before="0" w:after="283"/>
              <w:jc w:val="both"/>
              <w:rPr/>
            </w:pPr>
            <w:r>
              <w:rPr/>
              <w:t>☒</w:t>
            </w:r>
          </w:p>
        </w:tc>
        <w:tc>
          <w:tcPr>
            <w:tcW w:w="2225" w:type="dxa"/>
            <w:tcBorders/>
            <w:shd w:fill="auto" w:val="clear"/>
            <w:vAlign w:val="center"/>
          </w:tcPr>
          <w:p>
            <w:pPr>
              <w:pStyle w:val="TableContents"/>
              <w:spacing w:before="0" w:after="283"/>
              <w:jc w:val="both"/>
              <w:rPr>
                <w:sz w:val="20"/>
              </w:rPr>
            </w:pPr>
            <w:r>
              <w:rPr>
                <w:sz w:val="20"/>
              </w:rPr>
              <w:t>Smaller reporting company</w:t>
            </w:r>
          </w:p>
        </w:tc>
        <w:tc>
          <w:tcPr>
            <w:tcW w:w="245" w:type="dxa"/>
            <w:tcBorders/>
            <w:shd w:fill="auto" w:val="clear"/>
            <w:vAlign w:val="center"/>
          </w:tcPr>
          <w:p>
            <w:pPr>
              <w:pStyle w:val="TableContents"/>
              <w:spacing w:before="0" w:after="283"/>
              <w:jc w:val="both"/>
              <w:rPr/>
            </w:pPr>
            <w:r>
              <w:rPr/>
              <w:t>☒</w:t>
            </w:r>
          </w:p>
        </w:tc>
      </w:tr>
      <w:tr>
        <w:trPr/>
        <w:tc>
          <w:tcPr>
            <w:tcW w:w="2240" w:type="dxa"/>
            <w:tcBorders/>
            <w:shd w:fill="auto" w:val="clear"/>
            <w:vAlign w:val="center"/>
          </w:tcPr>
          <w:p>
            <w:pPr>
              <w:pStyle w:val="TableContents"/>
              <w:spacing w:before="0" w:after="283"/>
              <w:jc w:val="both"/>
              <w:rPr>
                <w:sz w:val="20"/>
              </w:rPr>
            </w:pPr>
            <w:r>
              <w:rPr>
                <w:sz w:val="20"/>
              </w:rPr>
              <w:t>Emerging growth company</w:t>
            </w:r>
          </w:p>
        </w:tc>
        <w:tc>
          <w:tcPr>
            <w:tcW w:w="230" w:type="dxa"/>
            <w:tcBorders/>
            <w:shd w:fill="auto" w:val="clear"/>
            <w:vAlign w:val="center"/>
          </w:tcPr>
          <w:p>
            <w:pPr>
              <w:pStyle w:val="TableContents"/>
              <w:spacing w:before="0" w:after="283"/>
              <w:jc w:val="both"/>
              <w:rPr/>
            </w:pPr>
            <w:r>
              <w:rPr/>
              <w:t>☒</w:t>
            </w:r>
          </w:p>
        </w:tc>
        <w:tc>
          <w:tcPr>
            <w:tcW w:w="2225" w:type="dxa"/>
            <w:tcBorders/>
            <w:shd w:fill="auto" w:val="clear"/>
            <w:vAlign w:val="center"/>
          </w:tcPr>
          <w:p>
            <w:pPr>
              <w:pStyle w:val="TableContents"/>
              <w:spacing w:before="0" w:after="283"/>
              <w:jc w:val="both"/>
              <w:rPr/>
            </w:pPr>
            <w:r>
              <w:rPr/>
              <w:t> </w:t>
            </w:r>
          </w:p>
        </w:tc>
        <w:tc>
          <w:tcPr>
            <w:tcW w:w="245"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12, 2022 there were 8,087,431 shares of Class A common stock, par value $0.0001 per share and 1,941,790 shares of the Company’s Class B common stock, par value $0.0001 per share, of the registrant issued and outstanding.</w:t>
      </w:r>
    </w:p>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 ENDED MARCH 31,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2"/>
        <w:gridCol w:w="8897"/>
        <w:gridCol w:w="60"/>
        <w:gridCol w:w="576"/>
      </w:tblGrid>
      <w:tr>
        <w:trPr/>
        <w:tc>
          <w:tcPr>
            <w:tcW w:w="672" w:type="dxa"/>
            <w:tcBorders/>
            <w:shd w:fill="auto" w:val="clear"/>
            <w:vAlign w:val="center"/>
          </w:tcPr>
          <w:p>
            <w:pPr>
              <w:pStyle w:val="TableContents"/>
              <w:spacing w:before="0" w:after="283"/>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PAGE</w:t>
            </w:r>
          </w:p>
        </w:tc>
      </w:tr>
      <w:tr>
        <w:trPr/>
        <w:tc>
          <w:tcPr>
            <w:tcW w:w="9569" w:type="dxa"/>
            <w:gridSpan w:val="2"/>
            <w:tcBorders/>
            <w:shd w:fill="CCEEFF" w:val="clear"/>
            <w:vAlign w:val="center"/>
          </w:tcPr>
          <w:p>
            <w:pPr>
              <w:pStyle w:val="TableContents"/>
              <w:spacing w:before="0" w:after="283"/>
              <w:rPr/>
            </w:pPr>
            <w:hyperlink w:anchor="a_001">
              <w:r>
                <w:rPr>
                  <w:rStyle w:val="InternetLink"/>
                  <w:sz w:val="20"/>
                </w:rPr>
                <w:t>PART I - FINANCIAL INFORMATION</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1</w:t>
            </w:r>
          </w:p>
        </w:tc>
      </w:tr>
      <w:tr>
        <w:trPr/>
        <w:tc>
          <w:tcPr>
            <w:tcW w:w="672" w:type="dxa"/>
            <w:tcBorders/>
            <w:shd w:fill="auto" w:val="clear"/>
            <w:vAlign w:val="center"/>
          </w:tcPr>
          <w:p>
            <w:pPr>
              <w:pStyle w:val="TableContents"/>
              <w:spacing w:before="0" w:after="283"/>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1.</w:t>
            </w:r>
          </w:p>
        </w:tc>
        <w:tc>
          <w:tcPr>
            <w:tcW w:w="8897" w:type="dxa"/>
            <w:tcBorders/>
            <w:shd w:fill="CCEEFF" w:val="clear"/>
            <w:vAlign w:val="center"/>
          </w:tcPr>
          <w:p>
            <w:pPr>
              <w:pStyle w:val="TableContents"/>
              <w:spacing w:before="0" w:after="283"/>
              <w:rPr/>
            </w:pPr>
            <w:hyperlink w:anchor="a_002">
              <w:r>
                <w:rPr>
                  <w:rStyle w:val="InternetLink"/>
                  <w:sz w:val="20"/>
                </w:rPr>
                <w:t>Condensed Financial Statements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1</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pPr>
            <w:r>
              <w:rPr/>
              <w:t> </w:t>
            </w:r>
          </w:p>
        </w:tc>
        <w:tc>
          <w:tcPr>
            <w:tcW w:w="8897" w:type="dxa"/>
            <w:tcBorders/>
            <w:shd w:fill="CCEEFF" w:val="clear"/>
            <w:vAlign w:val="center"/>
          </w:tcPr>
          <w:p>
            <w:pPr>
              <w:pStyle w:val="TableContents"/>
              <w:spacing w:before="0" w:after="283"/>
              <w:rPr/>
            </w:pPr>
            <w:hyperlink w:anchor="a_003">
              <w:r>
                <w:rPr>
                  <w:rStyle w:val="InternetLink"/>
                  <w:sz w:val="20"/>
                </w:rPr>
                <w:t>Condensed Balance Sheet as of March 31, 2022 (Unaudited)</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1</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pPr>
            <w:r>
              <w:rPr/>
              <w:t> </w:t>
            </w:r>
          </w:p>
        </w:tc>
        <w:tc>
          <w:tcPr>
            <w:tcW w:w="8897" w:type="dxa"/>
            <w:tcBorders/>
            <w:shd w:fill="CCEEFF" w:val="clear"/>
            <w:vAlign w:val="center"/>
          </w:tcPr>
          <w:p>
            <w:pPr>
              <w:pStyle w:val="TableContents"/>
              <w:spacing w:before="0" w:after="283"/>
              <w:rPr/>
            </w:pPr>
            <w:hyperlink w:anchor="a_004">
              <w:r>
                <w:rPr>
                  <w:rStyle w:val="InternetLink"/>
                  <w:sz w:val="20"/>
                </w:rPr>
                <w:t>Condensed Statements of Operations for the Three Months ended March 31, 2022 (Unaudited) and the period March 17, 2021 (inception) through March 31, 2022 (Unaudited)</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pPr>
            <w:r>
              <w:rPr/>
              <w:t> </w:t>
            </w:r>
          </w:p>
        </w:tc>
        <w:tc>
          <w:tcPr>
            <w:tcW w:w="8897" w:type="dxa"/>
            <w:tcBorders/>
            <w:shd w:fill="CCEEFF" w:val="clear"/>
            <w:vAlign w:val="center"/>
          </w:tcPr>
          <w:p>
            <w:pPr>
              <w:pStyle w:val="TableContents"/>
              <w:spacing w:before="0" w:after="283"/>
              <w:rPr/>
            </w:pPr>
            <w:hyperlink w:anchor="a_005">
              <w:r>
                <w:rPr>
                  <w:rStyle w:val="InternetLink"/>
                  <w:sz w:val="20"/>
                </w:rPr>
                <w:t>Condensed Statements of Changes in Shareholders’ Deficit for the Three Months ended March 31, 2022 (Unaudited) and the period March 17, 2021 (inception) through March 31, 2022 (Unaudited)</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3</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pPr>
            <w:r>
              <w:rPr/>
              <w:t> </w:t>
            </w:r>
          </w:p>
        </w:tc>
        <w:tc>
          <w:tcPr>
            <w:tcW w:w="8897" w:type="dxa"/>
            <w:tcBorders/>
            <w:shd w:fill="CCEEFF" w:val="clear"/>
            <w:vAlign w:val="center"/>
          </w:tcPr>
          <w:p>
            <w:pPr>
              <w:pStyle w:val="TableContents"/>
              <w:spacing w:before="0" w:after="283"/>
              <w:rPr/>
            </w:pPr>
            <w:hyperlink w:anchor="a_006">
              <w:r>
                <w:rPr>
                  <w:rStyle w:val="InternetLink"/>
                  <w:sz w:val="20"/>
                </w:rPr>
                <w:t>Condensed Statement of Cash Flows for the Three Months ended March 31, 2022 and for the period March 17, 2021 (inception) through March 31, 2022 (Unaudited)</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4</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pPr>
            <w:r>
              <w:rPr/>
              <w:t> </w:t>
            </w:r>
          </w:p>
        </w:tc>
        <w:tc>
          <w:tcPr>
            <w:tcW w:w="8897" w:type="dxa"/>
            <w:tcBorders/>
            <w:shd w:fill="CCEEFF" w:val="clear"/>
            <w:vAlign w:val="center"/>
          </w:tcPr>
          <w:p>
            <w:pPr>
              <w:pStyle w:val="TableContents"/>
              <w:spacing w:before="0" w:after="283"/>
              <w:rPr/>
            </w:pPr>
            <w:hyperlink w:anchor="a_007">
              <w:r>
                <w:rPr>
                  <w:rStyle w:val="InternetLink"/>
                  <w:sz w:val="20"/>
                </w:rPr>
                <w:t>Notes to Unaudited Condensed Financial Statements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5</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2.</w:t>
            </w:r>
          </w:p>
        </w:tc>
        <w:tc>
          <w:tcPr>
            <w:tcW w:w="8897" w:type="dxa"/>
            <w:tcBorders/>
            <w:shd w:fill="CCEEFF" w:val="clear"/>
            <w:vAlign w:val="center"/>
          </w:tcPr>
          <w:p>
            <w:pPr>
              <w:pStyle w:val="TableContents"/>
              <w:spacing w:before="0" w:after="283"/>
              <w:rPr/>
            </w:pPr>
            <w:hyperlink w:anchor="a_008">
              <w:r>
                <w:rPr>
                  <w:rStyle w:val="InternetLink"/>
                  <w:sz w:val="20"/>
                </w:rPr>
                <w:t>Management’s Discussion and Analysis of Financial Condition and Results of Operations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16</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3.</w:t>
            </w:r>
          </w:p>
        </w:tc>
        <w:tc>
          <w:tcPr>
            <w:tcW w:w="8897" w:type="dxa"/>
            <w:tcBorders/>
            <w:shd w:fill="CCEEFF" w:val="clear"/>
            <w:vAlign w:val="center"/>
          </w:tcPr>
          <w:p>
            <w:pPr>
              <w:pStyle w:val="TableContents"/>
              <w:spacing w:before="0" w:after="283"/>
              <w:rPr/>
            </w:pPr>
            <w:hyperlink w:anchor="a_009">
              <w:r>
                <w:rPr>
                  <w:rStyle w:val="InternetLink"/>
                  <w:sz w:val="20"/>
                </w:rPr>
                <w:t>Quantitative and Qualitative Disclosures about Market Risk</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21</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4.</w:t>
            </w:r>
          </w:p>
        </w:tc>
        <w:tc>
          <w:tcPr>
            <w:tcW w:w="8897" w:type="dxa"/>
            <w:tcBorders/>
            <w:shd w:fill="CCEEFF" w:val="clear"/>
            <w:vAlign w:val="center"/>
          </w:tcPr>
          <w:p>
            <w:pPr>
              <w:pStyle w:val="TableContents"/>
              <w:spacing w:before="0" w:after="283"/>
              <w:rPr/>
            </w:pPr>
            <w:hyperlink w:anchor="a_010">
              <w:r>
                <w:rPr>
                  <w:rStyle w:val="InternetLink"/>
                  <w:sz w:val="20"/>
                </w:rPr>
                <w:t>Controls and Procedures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21</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9569" w:type="dxa"/>
            <w:gridSpan w:val="2"/>
            <w:tcBorders/>
            <w:shd w:fill="CCEEFF" w:val="clear"/>
            <w:vAlign w:val="center"/>
          </w:tcPr>
          <w:p>
            <w:pPr>
              <w:pStyle w:val="TableContents"/>
              <w:spacing w:before="0" w:after="283"/>
              <w:rPr/>
            </w:pPr>
            <w:hyperlink w:anchor="a_011">
              <w:r>
                <w:rPr>
                  <w:rStyle w:val="InternetLink"/>
                  <w:sz w:val="20"/>
                </w:rPr>
                <w:t>PART II – OTHER INFORMATION</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1A.</w:t>
            </w:r>
          </w:p>
        </w:tc>
        <w:tc>
          <w:tcPr>
            <w:tcW w:w="8897" w:type="dxa"/>
            <w:tcBorders/>
            <w:shd w:fill="CCEEFF" w:val="clear"/>
            <w:vAlign w:val="center"/>
          </w:tcPr>
          <w:p>
            <w:pPr>
              <w:pStyle w:val="TableContents"/>
              <w:spacing w:before="0" w:after="283"/>
              <w:rPr/>
            </w:pPr>
            <w:hyperlink w:anchor="a_012">
              <w:r>
                <w:rPr>
                  <w:rStyle w:val="InternetLink"/>
                  <w:sz w:val="20"/>
                </w:rPr>
                <w:t>Risk Factors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1B.</w:t>
            </w:r>
          </w:p>
        </w:tc>
        <w:tc>
          <w:tcPr>
            <w:tcW w:w="8897" w:type="dxa"/>
            <w:tcBorders/>
            <w:shd w:fill="CCEEFF" w:val="clear"/>
            <w:vAlign w:val="center"/>
          </w:tcPr>
          <w:p>
            <w:pPr>
              <w:pStyle w:val="TableContents"/>
              <w:spacing w:before="0" w:after="283"/>
              <w:rPr/>
            </w:pPr>
            <w:hyperlink w:anchor="a_013">
              <w:r>
                <w:rPr>
                  <w:rStyle w:val="InternetLink"/>
                  <w:sz w:val="20"/>
                </w:rPr>
                <w:t>Legal Proceedings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2.</w:t>
            </w:r>
          </w:p>
        </w:tc>
        <w:tc>
          <w:tcPr>
            <w:tcW w:w="8897" w:type="dxa"/>
            <w:tcBorders/>
            <w:shd w:fill="CCEEFF" w:val="clear"/>
            <w:vAlign w:val="center"/>
          </w:tcPr>
          <w:p>
            <w:pPr>
              <w:pStyle w:val="TableContents"/>
              <w:spacing w:before="0" w:after="283"/>
              <w:rPr/>
            </w:pPr>
            <w:hyperlink w:anchor="a_014">
              <w:r>
                <w:rPr>
                  <w:rStyle w:val="InternetLink"/>
                  <w:sz w:val="20"/>
                </w:rPr>
                <w:t>Unregistered Sales of Equity Securities and Use of Proceeds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3.</w:t>
            </w:r>
          </w:p>
        </w:tc>
        <w:tc>
          <w:tcPr>
            <w:tcW w:w="8897" w:type="dxa"/>
            <w:tcBorders/>
            <w:shd w:fill="CCEEFF" w:val="clear"/>
            <w:vAlign w:val="center"/>
          </w:tcPr>
          <w:p>
            <w:pPr>
              <w:pStyle w:val="TableContents"/>
              <w:spacing w:before="0" w:after="283"/>
              <w:rPr/>
            </w:pPr>
            <w:hyperlink w:anchor="a_015">
              <w:r>
                <w:rPr>
                  <w:rStyle w:val="InternetLink"/>
                  <w:sz w:val="20"/>
                </w:rPr>
                <w:t>Defaults Upon Senior Securities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4.</w:t>
            </w:r>
          </w:p>
        </w:tc>
        <w:tc>
          <w:tcPr>
            <w:tcW w:w="8897" w:type="dxa"/>
            <w:tcBorders/>
            <w:shd w:fill="CCEEFF" w:val="clear"/>
            <w:vAlign w:val="center"/>
          </w:tcPr>
          <w:p>
            <w:pPr>
              <w:pStyle w:val="TableContents"/>
              <w:spacing w:before="0" w:after="283"/>
              <w:rPr/>
            </w:pPr>
            <w:hyperlink w:anchor="a_016">
              <w:r>
                <w:rPr>
                  <w:rStyle w:val="InternetLink"/>
                  <w:sz w:val="20"/>
                </w:rPr>
                <w:t>Mine Safety Disclosures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5.</w:t>
            </w:r>
          </w:p>
        </w:tc>
        <w:tc>
          <w:tcPr>
            <w:tcW w:w="8897" w:type="dxa"/>
            <w:tcBorders/>
            <w:shd w:fill="CCEEFF" w:val="clear"/>
            <w:vAlign w:val="center"/>
          </w:tcPr>
          <w:p>
            <w:pPr>
              <w:pStyle w:val="TableContents"/>
              <w:spacing w:before="0" w:after="283"/>
              <w:rPr/>
            </w:pPr>
            <w:hyperlink w:anchor="a_017">
              <w:r>
                <w:rPr>
                  <w:rStyle w:val="InternetLink"/>
                  <w:sz w:val="20"/>
                </w:rPr>
                <w:t>Other Information</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22</w:t>
            </w:r>
          </w:p>
        </w:tc>
      </w:tr>
      <w:tr>
        <w:trPr/>
        <w:tc>
          <w:tcPr>
            <w:tcW w:w="672" w:type="dxa"/>
            <w:tcBorders/>
            <w:shd w:fill="auto" w:val="clear"/>
            <w:vAlign w:val="center"/>
          </w:tcPr>
          <w:p>
            <w:pPr>
              <w:pStyle w:val="TableContents"/>
              <w:spacing w:before="0" w:after="283"/>
              <w:ind w:left="0" w:right="0" w:hanging="180"/>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672" w:type="dxa"/>
            <w:tcBorders/>
            <w:shd w:fill="CCEEFF" w:val="clear"/>
            <w:vAlign w:val="center"/>
          </w:tcPr>
          <w:p>
            <w:pPr>
              <w:pStyle w:val="TableContents"/>
              <w:spacing w:before="0" w:after="283"/>
              <w:ind w:left="0" w:right="0" w:hanging="180"/>
              <w:rPr>
                <w:sz w:val="20"/>
              </w:rPr>
            </w:pPr>
            <w:r>
              <w:rPr>
                <w:sz w:val="20"/>
              </w:rPr>
              <w:t>ITEM 6.</w:t>
            </w:r>
          </w:p>
        </w:tc>
        <w:tc>
          <w:tcPr>
            <w:tcW w:w="8897" w:type="dxa"/>
            <w:tcBorders/>
            <w:shd w:fill="CCEEFF" w:val="clear"/>
            <w:vAlign w:val="center"/>
          </w:tcPr>
          <w:p>
            <w:pPr>
              <w:pStyle w:val="TableContents"/>
              <w:spacing w:before="0" w:after="283"/>
              <w:rPr/>
            </w:pPr>
            <w:hyperlink w:anchor="a_018">
              <w:r>
                <w:rPr>
                  <w:rStyle w:val="InternetLink"/>
                  <w:sz w:val="20"/>
                </w:rPr>
                <w:t>Exhibits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23</w:t>
            </w:r>
          </w:p>
        </w:tc>
      </w:tr>
      <w:tr>
        <w:trPr/>
        <w:tc>
          <w:tcPr>
            <w:tcW w:w="672" w:type="dxa"/>
            <w:tcBorders/>
            <w:shd w:fill="auto" w:val="clear"/>
            <w:vAlign w:val="center"/>
          </w:tcPr>
          <w:p>
            <w:pPr>
              <w:pStyle w:val="TableContents"/>
              <w:spacing w:before="0" w:after="283"/>
              <w:rPr/>
            </w:pPr>
            <w:r>
              <w:rPr/>
              <w:t> </w:t>
            </w:r>
          </w:p>
        </w:tc>
        <w:tc>
          <w:tcPr>
            <w:tcW w:w="88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center"/>
          </w:tcPr>
          <w:p>
            <w:pPr>
              <w:pStyle w:val="TableContents"/>
              <w:spacing w:before="0" w:after="283"/>
              <w:jc w:val="center"/>
              <w:rPr/>
            </w:pPr>
            <w:r>
              <w:rPr/>
              <w:t> </w:t>
            </w:r>
          </w:p>
        </w:tc>
      </w:tr>
      <w:tr>
        <w:trPr/>
        <w:tc>
          <w:tcPr>
            <w:tcW w:w="9569" w:type="dxa"/>
            <w:gridSpan w:val="2"/>
            <w:tcBorders/>
            <w:shd w:fill="CCEEFF" w:val="clear"/>
            <w:vAlign w:val="center"/>
          </w:tcPr>
          <w:p>
            <w:pPr>
              <w:pStyle w:val="TableContents"/>
              <w:spacing w:before="0" w:after="283"/>
              <w:rPr/>
            </w:pPr>
            <w:hyperlink w:anchor="a_019">
              <w:r>
                <w:rPr>
                  <w:rStyle w:val="InternetLink"/>
                  <w:sz w:val="20"/>
                </w:rPr>
                <w:t>SIGNATURES</w:t>
              </w:r>
            </w:hyperlink>
          </w:p>
        </w:tc>
        <w:tc>
          <w:tcPr>
            <w:tcW w:w="60" w:type="dxa"/>
            <w:tcBorders/>
            <w:shd w:fill="CCEEFF" w:val="clear"/>
            <w:vAlign w:val="center"/>
          </w:tcPr>
          <w:p>
            <w:pPr>
              <w:pStyle w:val="TableContents"/>
              <w:spacing w:before="0" w:after="283"/>
              <w:rPr/>
            </w:pPr>
            <w:r>
              <w:rPr/>
              <w:t> </w:t>
            </w:r>
          </w:p>
        </w:tc>
        <w:tc>
          <w:tcPr>
            <w:tcW w:w="576" w:type="dxa"/>
            <w:tcBorders/>
            <w:shd w:fill="CCEEFF" w:val="clear"/>
            <w:vAlign w:val="center"/>
          </w:tcPr>
          <w:p>
            <w:pPr>
              <w:pStyle w:val="TableContents"/>
              <w:spacing w:before="0" w:after="283"/>
              <w:jc w:val="center"/>
              <w:rPr/>
            </w:pPr>
            <w:r>
              <w:rPr/>
              <w:t>24</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LARKSPUR HEALTH ACQUISITION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BALANCE SHEETS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17"/>
        <w:gridCol w:w="60"/>
        <w:gridCol w:w="140"/>
        <w:gridCol w:w="1100"/>
        <w:gridCol w:w="95"/>
        <w:gridCol w:w="60"/>
        <w:gridCol w:w="161"/>
        <w:gridCol w:w="1279"/>
        <w:gridCol w:w="93"/>
      </w:tblGrid>
      <w:tr>
        <w:trPr/>
        <w:tc>
          <w:tcPr>
            <w:tcW w:w="72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March 31, </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93" w:type="dxa"/>
            <w:tcBorders/>
            <w:shd w:fill="auto" w:val="clear"/>
            <w:vAlign w:val="center"/>
          </w:tcPr>
          <w:p>
            <w:pPr>
              <w:pStyle w:val="TableContents"/>
              <w:spacing w:before="0" w:after="283"/>
              <w:rPr/>
            </w:pPr>
            <w:r>
              <w:rPr/>
              <w:t> </w:t>
            </w:r>
          </w:p>
        </w:tc>
      </w:tr>
      <w:tr>
        <w:trPr/>
        <w:tc>
          <w:tcPr>
            <w:tcW w:w="7217"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0" w:type="dxa"/>
            <w:gridSpan w:val="2"/>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7217" w:type="dxa"/>
            <w:tcBorders/>
            <w:shd w:fill="auto" w:val="clear"/>
            <w:vAlign w:val="center"/>
          </w:tcPr>
          <w:p>
            <w:pPr>
              <w:pStyle w:val="TableContents"/>
              <w:spacing w:before="0" w:after="283"/>
              <w:rPr/>
            </w:pPr>
            <w:r>
              <w:rPr/>
              <w:t>Current Assets:</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0" w:type="dxa"/>
            <w:gridSpan w:val="2"/>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ind w:left="0" w:right="0" w:hanging="180"/>
              <w:rPr/>
            </w:pPr>
            <w:r>
              <w:rPr/>
              <w:t> </w:t>
            </w:r>
          </w:p>
        </w:tc>
      </w:tr>
      <w:tr>
        <w:trPr/>
        <w:tc>
          <w:tcPr>
            <w:tcW w:w="7217"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830,224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w:t>
            </w:r>
          </w:p>
        </w:tc>
        <w:tc>
          <w:tcPr>
            <w:tcW w:w="1279" w:type="dxa"/>
            <w:tcBorders/>
            <w:shd w:fill="CCEEFF" w:val="clear"/>
            <w:vAlign w:val="center"/>
          </w:tcPr>
          <w:p>
            <w:pPr>
              <w:pStyle w:val="TableContents"/>
              <w:spacing w:before="0" w:after="283"/>
              <w:jc w:val="right"/>
              <w:rPr/>
            </w:pPr>
            <w:r>
              <w:rPr/>
              <w:t>928,389</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Prepaid expenses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225,000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auto" w:val="clear"/>
            <w:tcMar>
              <w:bottom w:w="28" w:type="dxa"/>
            </w:tcMar>
            <w:vAlign w:val="center"/>
          </w:tcPr>
          <w:p>
            <w:pPr>
              <w:pStyle w:val="TableContents"/>
              <w:spacing w:before="0" w:after="283"/>
              <w:jc w:val="right"/>
              <w:rPr/>
            </w:pPr>
            <w:r>
              <w:rPr/>
              <w:t>251,800</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1,055,224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1,180,189</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Prepaid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167,267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283"/>
              <w:jc w:val="right"/>
              <w:rPr/>
            </w:pPr>
            <w:r>
              <w:rPr/>
              <w:t>213,168</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Investments held in Trust Account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78,452,760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center"/>
          </w:tcPr>
          <w:p>
            <w:pPr>
              <w:pStyle w:val="TableContents"/>
              <w:spacing w:before="0" w:after="283"/>
              <w:jc w:val="right"/>
              <w:rPr/>
            </w:pPr>
            <w:r>
              <w:rPr/>
              <w:t>75,750,000</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b/>
              </w:rPr>
            </w:pPr>
            <w:r>
              <w:rPr>
                <w:b/>
              </w:rPr>
              <w:t>Total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79,673,282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79" w:type="dxa"/>
            <w:tcBorders>
              <w:bottom w:val="double" w:sz="10" w:space="0" w:color="000000"/>
            </w:tcBorders>
            <w:shd w:fill="auto" w:val="clear"/>
            <w:tcMar>
              <w:bottom w:w="28" w:type="dxa"/>
            </w:tcMar>
            <w:vAlign w:val="center"/>
          </w:tcPr>
          <w:p>
            <w:pPr>
              <w:pStyle w:val="TableContents"/>
              <w:spacing w:before="0" w:after="283"/>
              <w:jc w:val="right"/>
              <w:rPr>
                <w:b/>
              </w:rPr>
            </w:pPr>
            <w:r>
              <w:rPr>
                <w:b/>
              </w:rPr>
              <w:t>77,143,357</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b/>
              </w:rPr>
            </w:pPr>
            <w:r>
              <w:rPr>
                <w:b/>
              </w:rPr>
              <w:t>LIABILITIES AND STOCKHOLDERS’ DEFICIT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Accrued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1100" w:type="dxa"/>
            <w:tcBorders/>
            <w:shd w:fill="auto" w:val="clear"/>
            <w:vAlign w:val="center"/>
          </w:tcPr>
          <w:p>
            <w:pPr>
              <w:pStyle w:val="TableContents"/>
              <w:spacing w:before="0" w:after="283"/>
              <w:jc w:val="right"/>
              <w:rPr/>
            </w:pPr>
            <w:r>
              <w:rPr/>
              <w:t>828,460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w:t>
            </w:r>
          </w:p>
        </w:tc>
        <w:tc>
          <w:tcPr>
            <w:tcW w:w="1279" w:type="dxa"/>
            <w:tcBorders/>
            <w:shd w:fill="auto" w:val="clear"/>
            <w:vAlign w:val="center"/>
          </w:tcPr>
          <w:p>
            <w:pPr>
              <w:pStyle w:val="TableContents"/>
              <w:spacing w:before="0" w:after="283"/>
              <w:jc w:val="right"/>
              <w:rPr/>
            </w:pPr>
            <w:r>
              <w:rPr/>
              <w:t>200,247</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Derivative liability</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center"/>
          </w:tcPr>
          <w:p>
            <w:pPr>
              <w:pStyle w:val="TableContents"/>
              <w:spacing w:before="0" w:after="283"/>
              <w:jc w:val="right"/>
              <w:rPr/>
            </w:pPr>
            <w:r>
              <w:rPr/>
              <w:t>76,588</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Total Current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828,460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283"/>
              <w:jc w:val="right"/>
              <w:rPr/>
            </w:pPr>
            <w:r>
              <w:rPr/>
              <w:t>276,835</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Business combination fee payable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3,375,000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center"/>
          </w:tcPr>
          <w:p>
            <w:pPr>
              <w:pStyle w:val="TableContents"/>
              <w:spacing w:before="0" w:after="283"/>
              <w:jc w:val="right"/>
              <w:rPr/>
            </w:pPr>
            <w:r>
              <w:rPr/>
              <w:t>3,375,000</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Total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4,203,460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auto" w:val="clear"/>
            <w:tcMar>
              <w:bottom w:w="28" w:type="dxa"/>
            </w:tcMar>
            <w:vAlign w:val="center"/>
          </w:tcPr>
          <w:p>
            <w:pPr>
              <w:pStyle w:val="TableContents"/>
              <w:spacing w:before="0" w:after="283"/>
              <w:jc w:val="right"/>
              <w:rPr/>
            </w:pPr>
            <w:r>
              <w:rPr/>
              <w:t>3,651,835</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b/>
              </w:rPr>
            </w:pPr>
            <w:r>
              <w:rPr>
                <w:b/>
              </w:rPr>
              <w:t>Commitments and contingencies (Note 6)</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0"/>
              <w:jc w:val="right"/>
              <w:rPr/>
            </w:pPr>
            <w:r>
              <w:rPr/>
              <w:t> </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b/>
              </w:rPr>
            </w:pPr>
            <w:r>
              <w:rPr>
                <w:b/>
              </w:rPr>
              <w:t>Class A common stock subject to possible redemption; 7,767,159 shares and 7,500,000 shares (redemption value of $10.10 per share)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78,448,306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75,750,000</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b/>
              </w:rPr>
            </w:pPr>
            <w:r>
              <w:rPr>
                <w:b/>
              </w:rPr>
              <w:t>Stockholders’ Deficit: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 </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Preferred stock, $0.0001 par value; 1,000,000 shares authorized; none issued and outstanding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0"/>
              <w:jc w:val="right"/>
              <w:rPr/>
            </w:pPr>
            <w:r>
              <w:rPr/>
              <w:t>—</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Class A common stock, $0.0001 par value; 200,000,000 shares authorized; 320,272 issued and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283"/>
              <w:jc w:val="right"/>
              <w:rPr/>
            </w:pPr>
            <w:r>
              <w:rPr/>
              <w:t>32</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Class B common stock, $0.0001 par value; 20,000,000 shares authorized; 1,941,790 and 2,156,250 shares issued and outstanding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194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 </w:t>
            </w:r>
          </w:p>
        </w:tc>
        <w:tc>
          <w:tcPr>
            <w:tcW w:w="1279" w:type="dxa"/>
            <w:tcBorders/>
            <w:shd w:fill="auto" w:val="clear"/>
            <w:vAlign w:val="center"/>
          </w:tcPr>
          <w:p>
            <w:pPr>
              <w:pStyle w:val="TableContents"/>
              <w:spacing w:before="0" w:after="283"/>
              <w:jc w:val="right"/>
              <w:rPr/>
            </w:pPr>
            <w:r>
              <w:rPr/>
              <w:t>216</w:t>
            </w:r>
          </w:p>
        </w:tc>
        <w:tc>
          <w:tcPr>
            <w:tcW w:w="93" w:type="dxa"/>
            <w:tcBorders/>
            <w:shd w:fill="auto" w:val="clear"/>
            <w:vAlign w:val="center"/>
          </w:tcPr>
          <w:p>
            <w:pPr>
              <w:pStyle w:val="TableContents"/>
              <w:spacing w:before="0" w:after="283"/>
              <w:ind w:left="0" w:right="0" w:hanging="180"/>
              <w:jc w:val="left"/>
              <w:rPr/>
            </w:pPr>
            <w:r>
              <w:rPr/>
              <w:t> </w:t>
            </w:r>
          </w:p>
        </w:tc>
      </w:tr>
      <w:tr>
        <w:trPr/>
        <w:tc>
          <w:tcPr>
            <w:tcW w:w="7217" w:type="dxa"/>
            <w:tcBorders/>
            <w:shd w:fill="CCEEFF" w:val="clear"/>
            <w:vAlign w:val="center"/>
          </w:tcPr>
          <w:p>
            <w:pPr>
              <w:pStyle w:val="TableContents"/>
              <w:spacing w:before="0" w:after="283"/>
              <w:jc w:val="left"/>
              <w:rPr/>
            </w:pPr>
            <w:r>
              <w:rPr/>
              <w:t>Additional paid-in capital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jc w:val="left"/>
              <w:rPr/>
            </w:pPr>
            <w:r>
              <w:rPr/>
              <w:t> </w:t>
            </w:r>
          </w:p>
        </w:tc>
        <w:tc>
          <w:tcPr>
            <w:tcW w:w="1279" w:type="dxa"/>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283"/>
              <w:ind w:left="0" w:right="0" w:hanging="180"/>
              <w:jc w:val="left"/>
              <w:rPr/>
            </w:pPr>
            <w:r>
              <w:rPr/>
              <w:t> </w:t>
            </w:r>
          </w:p>
        </w:tc>
      </w:tr>
      <w:tr>
        <w:trPr/>
        <w:tc>
          <w:tcPr>
            <w:tcW w:w="7217" w:type="dxa"/>
            <w:tcBorders/>
            <w:shd w:fill="auto" w:val="clear"/>
            <w:vAlign w:val="center"/>
          </w:tcPr>
          <w:p>
            <w:pPr>
              <w:pStyle w:val="TableContents"/>
              <w:spacing w:before="0" w:after="283"/>
              <w:jc w:val="left"/>
              <w:rPr/>
            </w:pPr>
            <w:r>
              <w:rPr/>
              <w:t>Accumulated deficit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(2,978,754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auto" w:val="clear"/>
            <w:tcMar>
              <w:bottom w:w="28" w:type="dxa"/>
            </w:tcMar>
            <w:vAlign w:val="center"/>
          </w:tcPr>
          <w:p>
            <w:pPr>
              <w:pStyle w:val="TableContents"/>
              <w:spacing w:before="0" w:after="283"/>
              <w:jc w:val="right"/>
              <w:rPr/>
            </w:pPr>
            <w:r>
              <w:rPr/>
              <w:t>(2,258,726</w:t>
            </w:r>
          </w:p>
        </w:tc>
        <w:tc>
          <w:tcPr>
            <w:tcW w:w="93" w:type="dxa"/>
            <w:tcBorders/>
            <w:shd w:fill="auto" w:val="clear"/>
            <w:vAlign w:val="center"/>
          </w:tcPr>
          <w:p>
            <w:pPr>
              <w:pStyle w:val="TableContents"/>
              <w:spacing w:before="0" w:after="283"/>
              <w:ind w:left="0" w:right="0" w:hanging="180"/>
              <w:jc w:val="left"/>
              <w:rPr/>
            </w:pPr>
            <w:r>
              <w:rPr/>
              <w:t>)</w:t>
            </w:r>
          </w:p>
        </w:tc>
      </w:tr>
      <w:tr>
        <w:trPr/>
        <w:tc>
          <w:tcPr>
            <w:tcW w:w="7217" w:type="dxa"/>
            <w:tcBorders/>
            <w:shd w:fill="CCEEFF" w:val="clear"/>
            <w:vAlign w:val="center"/>
          </w:tcPr>
          <w:p>
            <w:pPr>
              <w:pStyle w:val="TableContents"/>
              <w:spacing w:before="0" w:after="283"/>
              <w:jc w:val="left"/>
              <w:rPr>
                <w:b/>
              </w:rPr>
            </w:pPr>
            <w:r>
              <w:rPr>
                <w:b/>
              </w:rPr>
              <w:t>Total Stockholders’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(2,978,484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center"/>
          </w:tcPr>
          <w:p>
            <w:pPr>
              <w:pStyle w:val="TableContents"/>
              <w:spacing w:before="0" w:after="283"/>
              <w:jc w:val="right"/>
              <w:rPr/>
            </w:pPr>
            <w:r>
              <w:rPr/>
              <w:t>(2,258,478</w:t>
            </w:r>
          </w:p>
        </w:tc>
        <w:tc>
          <w:tcPr>
            <w:tcW w:w="93" w:type="dxa"/>
            <w:tcBorders/>
            <w:shd w:fill="CCEEFF" w:val="clear"/>
            <w:vAlign w:val="center"/>
          </w:tcPr>
          <w:p>
            <w:pPr>
              <w:pStyle w:val="TableContents"/>
              <w:spacing w:before="0" w:after="283"/>
              <w:ind w:left="0" w:right="0" w:hanging="180"/>
              <w:jc w:val="left"/>
              <w:rPr/>
            </w:pPr>
            <w:r>
              <w:rPr/>
              <w:t>)</w:t>
            </w:r>
          </w:p>
        </w:tc>
      </w:tr>
      <w:tr>
        <w:trPr/>
        <w:tc>
          <w:tcPr>
            <w:tcW w:w="7217" w:type="dxa"/>
            <w:tcBorders/>
            <w:shd w:fill="auto" w:val="clear"/>
            <w:vAlign w:val="center"/>
          </w:tcPr>
          <w:p>
            <w:pPr>
              <w:pStyle w:val="TableContents"/>
              <w:spacing w:before="0" w:after="283"/>
              <w:jc w:val="left"/>
              <w:rPr>
                <w:sz w:val="20"/>
              </w:rPr>
            </w:pPr>
            <w:r>
              <w:rPr>
                <w:sz w:val="20"/>
              </w:rPr>
              <w:t>T</w:t>
            </w:r>
            <w:r>
              <w:rPr>
                <w:b/>
                <w:sz w:val="20"/>
              </w:rPr>
              <w:t>otal Liabilities and Stockholders’ Deficit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79,673,282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79" w:type="dxa"/>
            <w:tcBorders>
              <w:bottom w:val="double" w:sz="10" w:space="0" w:color="000000"/>
            </w:tcBorders>
            <w:shd w:fill="auto" w:val="clear"/>
            <w:tcMar>
              <w:bottom w:w="28" w:type="dxa"/>
            </w:tcMar>
            <w:vAlign w:val="center"/>
          </w:tcPr>
          <w:p>
            <w:pPr>
              <w:pStyle w:val="TableContents"/>
              <w:spacing w:before="0" w:after="283"/>
              <w:jc w:val="right"/>
              <w:rPr>
                <w:b/>
              </w:rPr>
            </w:pPr>
            <w:r>
              <w:rPr>
                <w:b/>
              </w:rPr>
              <w:t>77,143,357</w:t>
            </w:r>
          </w:p>
        </w:tc>
        <w:tc>
          <w:tcPr>
            <w:tcW w:w="93"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491"/>
        <w:gridCol w:w="60"/>
        <w:gridCol w:w="187"/>
        <w:gridCol w:w="1313"/>
        <w:gridCol w:w="95"/>
        <w:gridCol w:w="60"/>
        <w:gridCol w:w="234"/>
        <w:gridCol w:w="1653"/>
        <w:gridCol w:w="112"/>
      </w:tblGrid>
      <w:tr>
        <w:trPr/>
        <w:tc>
          <w:tcPr>
            <w:tcW w:w="649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 Three</w:t>
              <w:br/>
              <w:t xml:space="preserve">Months Ended </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For the </w:t>
              <w:br/>
              <w:t xml:space="preserve">period from </w:t>
              <w:br/>
              <w:t>March 17,</w:t>
              <w:br/>
              <w:t xml:space="preserve">2021 </w:t>
              <w:br/>
              <w:t xml:space="preserve">(Inception) through </w:t>
              <w:br/>
              <w:t>March 31,</w:t>
              <w:br/>
              <w:t>2021</w:t>
            </w:r>
          </w:p>
        </w:tc>
        <w:tc>
          <w:tcPr>
            <w:tcW w:w="112" w:type="dxa"/>
            <w:tcBorders/>
            <w:shd w:fill="auto" w:val="clear"/>
            <w:vAlign w:val="center"/>
          </w:tcPr>
          <w:p>
            <w:pPr>
              <w:pStyle w:val="TableContents"/>
              <w:spacing w:before="0" w:after="283"/>
              <w:rPr/>
            </w:pPr>
            <w:r>
              <w:rPr/>
              <w:t> </w:t>
            </w:r>
          </w:p>
        </w:tc>
      </w:tr>
      <w:tr>
        <w:trPr/>
        <w:tc>
          <w:tcPr>
            <w:tcW w:w="649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7"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ind w:left="0" w:right="0" w:hanging="180"/>
              <w:rPr/>
            </w:pPr>
            <w:r>
              <w:rPr/>
              <w:t> </w:t>
            </w:r>
          </w:p>
        </w:tc>
      </w:tr>
      <w:tr>
        <w:trPr/>
        <w:tc>
          <w:tcPr>
            <w:tcW w:w="6491" w:type="dxa"/>
            <w:tcBorders/>
            <w:shd w:fill="CCEEFF" w:val="clear"/>
            <w:vAlign w:val="center"/>
          </w:tcPr>
          <w:p>
            <w:pPr>
              <w:pStyle w:val="TableContents"/>
              <w:spacing w:before="0" w:after="283"/>
              <w:jc w:val="left"/>
              <w:rPr/>
            </w:pPr>
            <w:r>
              <w:rPr/>
              <w:t>Formation and operating costs</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313" w:type="dxa"/>
            <w:tcBorders>
              <w:bottom w:val="single" w:sz="12" w:space="0" w:color="000000"/>
            </w:tcBorders>
            <w:shd w:fill="CCEEFF" w:val="clear"/>
            <w:tcMar>
              <w:bottom w:w="28" w:type="dxa"/>
            </w:tcMar>
            <w:vAlign w:val="center"/>
          </w:tcPr>
          <w:p>
            <w:pPr>
              <w:pStyle w:val="TableContents"/>
              <w:spacing w:before="0" w:after="283"/>
              <w:jc w:val="right"/>
              <w:rPr/>
            </w:pPr>
            <w:r>
              <w:rPr/>
              <w:t>801,048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4"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653" w:type="dxa"/>
            <w:tcBorders>
              <w:bottom w:val="single" w:sz="12" w:space="0" w:color="000000"/>
            </w:tcBorders>
            <w:shd w:fill="CCEEFF" w:val="clear"/>
            <w:tcMar>
              <w:bottom w:w="28" w:type="dxa"/>
            </w:tcMar>
            <w:vAlign w:val="center"/>
          </w:tcPr>
          <w:p>
            <w:pPr>
              <w:pStyle w:val="TableContents"/>
              <w:spacing w:before="0" w:after="283"/>
              <w:jc w:val="right"/>
              <w:rPr/>
            </w:pPr>
            <w:r>
              <w:rPr/>
              <w:t>1,106</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Operating loss</w:t>
            </w:r>
          </w:p>
        </w:tc>
        <w:tc>
          <w:tcPr>
            <w:tcW w:w="60" w:type="dxa"/>
            <w:tcBorders/>
            <w:shd w:fill="auto" w:val="clear"/>
            <w:vAlign w:val="center"/>
          </w:tcPr>
          <w:p>
            <w:pPr>
              <w:pStyle w:val="TableContents"/>
              <w:spacing w:before="0" w:after="283"/>
              <w:rPr/>
            </w:pPr>
            <w:r>
              <w:rPr/>
              <w:t> </w:t>
            </w:r>
          </w:p>
        </w:tc>
        <w:tc>
          <w:tcPr>
            <w:tcW w:w="18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13" w:type="dxa"/>
            <w:tcBorders>
              <w:bottom w:val="single" w:sz="12" w:space="0" w:color="000000"/>
            </w:tcBorders>
            <w:shd w:fill="auto" w:val="clear"/>
            <w:tcMar>
              <w:bottom w:w="28" w:type="dxa"/>
            </w:tcMar>
            <w:vAlign w:val="center"/>
          </w:tcPr>
          <w:p>
            <w:pPr>
              <w:pStyle w:val="TableContents"/>
              <w:spacing w:before="0" w:after="283"/>
              <w:jc w:val="right"/>
              <w:rPr/>
            </w:pPr>
            <w:r>
              <w:rPr/>
              <w:t>(801,048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53" w:type="dxa"/>
            <w:tcBorders>
              <w:bottom w:val="single" w:sz="12" w:space="0" w:color="000000"/>
            </w:tcBorders>
            <w:shd w:fill="auto" w:val="clear"/>
            <w:tcMar>
              <w:bottom w:w="28" w:type="dxa"/>
            </w:tcMar>
            <w:vAlign w:val="center"/>
          </w:tcPr>
          <w:p>
            <w:pPr>
              <w:pStyle w:val="TableContents"/>
              <w:spacing w:before="0" w:after="283"/>
              <w:jc w:val="right"/>
              <w:rPr/>
            </w:pPr>
            <w:r>
              <w:rPr/>
              <w:t>(1,106</w:t>
            </w:r>
          </w:p>
        </w:tc>
        <w:tc>
          <w:tcPr>
            <w:tcW w:w="112" w:type="dxa"/>
            <w:tcBorders/>
            <w:shd w:fill="auto" w:val="clear"/>
            <w:vAlign w:val="center"/>
          </w:tcPr>
          <w:p>
            <w:pPr>
              <w:pStyle w:val="TableContents"/>
              <w:spacing w:before="0" w:after="283"/>
              <w:ind w:left="0" w:right="0" w:hanging="180"/>
              <w:jc w:val="left"/>
              <w:rPr/>
            </w:pPr>
            <w:r>
              <w:rPr/>
              <w:t>)</w:t>
            </w:r>
          </w:p>
        </w:tc>
      </w:tr>
      <w:tr>
        <w:trPr/>
        <w:tc>
          <w:tcPr>
            <w:tcW w:w="649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3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jc w:val="left"/>
              <w:rPr/>
            </w:pPr>
            <w:r>
              <w:rPr/>
              <w:t> </w:t>
            </w:r>
          </w:p>
        </w:tc>
        <w:tc>
          <w:tcPr>
            <w:tcW w:w="1653"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Interest income on assets held in the Trust</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jc w:val="left"/>
              <w:rPr/>
            </w:pPr>
            <w:r>
              <w:rPr/>
              <w:t> </w:t>
            </w:r>
          </w:p>
        </w:tc>
        <w:tc>
          <w:tcPr>
            <w:tcW w:w="1313" w:type="dxa"/>
            <w:tcBorders/>
            <w:shd w:fill="auto" w:val="clear"/>
            <w:vAlign w:val="center"/>
          </w:tcPr>
          <w:p>
            <w:pPr>
              <w:pStyle w:val="TableContents"/>
              <w:spacing w:before="0" w:after="283"/>
              <w:jc w:val="right"/>
              <w:rPr/>
            </w:pPr>
            <w:r>
              <w:rPr/>
              <w:t>4,454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jc w:val="left"/>
              <w:rPr/>
            </w:pPr>
            <w:r>
              <w:rPr/>
              <w:t> </w:t>
            </w:r>
          </w:p>
        </w:tc>
        <w:tc>
          <w:tcPr>
            <w:tcW w:w="1653" w:type="dxa"/>
            <w:tcBorders/>
            <w:shd w:fill="auto" w:val="clear"/>
            <w:vAlign w:val="center"/>
          </w:tcPr>
          <w:p>
            <w:pPr>
              <w:pStyle w:val="TableContents"/>
              <w:spacing w:before="0" w:after="0"/>
              <w:jc w:val="right"/>
              <w:rPr/>
            </w:pPr>
            <w:r>
              <w:rPr/>
              <w:t>-</w:t>
            </w:r>
          </w:p>
        </w:tc>
        <w:tc>
          <w:tcPr>
            <w:tcW w:w="112" w:type="dxa"/>
            <w:tcBorders/>
            <w:shd w:fill="auto" w:val="clear"/>
            <w:vAlign w:val="center"/>
          </w:tcPr>
          <w:p>
            <w:pPr>
              <w:pStyle w:val="TableContents"/>
              <w:spacing w:before="0" w:after="283"/>
              <w:ind w:left="0" w:right="0" w:hanging="180"/>
              <w:jc w:val="left"/>
              <w:rPr/>
            </w:pPr>
            <w:r>
              <w:rPr/>
              <w:t> </w:t>
            </w:r>
          </w:p>
        </w:tc>
      </w:tr>
      <w:tr>
        <w:trPr/>
        <w:tc>
          <w:tcPr>
            <w:tcW w:w="6491" w:type="dxa"/>
            <w:tcBorders/>
            <w:shd w:fill="CCEEFF" w:val="clear"/>
            <w:vAlign w:val="center"/>
          </w:tcPr>
          <w:p>
            <w:pPr>
              <w:pStyle w:val="TableContents"/>
              <w:spacing w:before="0" w:after="283"/>
              <w:jc w:val="left"/>
              <w:rPr/>
            </w:pPr>
            <w:r>
              <w:rPr/>
              <w:t>Change in fair value of derivative liability</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spacing w:before="0" w:after="283"/>
              <w:jc w:val="right"/>
              <w:rPr/>
            </w:pPr>
            <w:r>
              <w:rPr/>
              <w:t>76,588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5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Total other income</w:t>
            </w:r>
          </w:p>
        </w:tc>
        <w:tc>
          <w:tcPr>
            <w:tcW w:w="60" w:type="dxa"/>
            <w:tcBorders/>
            <w:shd w:fill="auto" w:val="clear"/>
            <w:vAlign w:val="center"/>
          </w:tcPr>
          <w:p>
            <w:pPr>
              <w:pStyle w:val="TableContents"/>
              <w:spacing w:before="0" w:after="283"/>
              <w:rPr/>
            </w:pPr>
            <w:r>
              <w:rPr/>
              <w:t> </w:t>
            </w:r>
          </w:p>
        </w:tc>
        <w:tc>
          <w:tcPr>
            <w:tcW w:w="18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13" w:type="dxa"/>
            <w:tcBorders>
              <w:bottom w:val="single" w:sz="12" w:space="0" w:color="000000"/>
            </w:tcBorders>
            <w:shd w:fill="auto" w:val="clear"/>
            <w:tcMar>
              <w:bottom w:w="28" w:type="dxa"/>
            </w:tcMar>
            <w:vAlign w:val="center"/>
          </w:tcPr>
          <w:p>
            <w:pPr>
              <w:pStyle w:val="TableContents"/>
              <w:spacing w:before="0" w:after="283"/>
              <w:jc w:val="right"/>
              <w:rPr/>
            </w:pPr>
            <w:r>
              <w:rPr/>
              <w:t>81,042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5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2" w:type="dxa"/>
            <w:tcBorders/>
            <w:shd w:fill="auto" w:val="clear"/>
            <w:vAlign w:val="center"/>
          </w:tcPr>
          <w:p>
            <w:pPr>
              <w:pStyle w:val="TableContents"/>
              <w:spacing w:before="0" w:after="283"/>
              <w:ind w:left="0" w:right="0" w:hanging="180"/>
              <w:jc w:val="left"/>
              <w:rPr/>
            </w:pPr>
            <w:r>
              <w:rPr/>
              <w:t> </w:t>
            </w:r>
          </w:p>
        </w:tc>
      </w:tr>
      <w:tr>
        <w:trPr/>
        <w:tc>
          <w:tcPr>
            <w:tcW w:w="649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3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jc w:val="left"/>
              <w:rPr/>
            </w:pPr>
            <w:r>
              <w:rPr/>
              <w:t> </w:t>
            </w:r>
          </w:p>
        </w:tc>
        <w:tc>
          <w:tcPr>
            <w:tcW w:w="1653"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Net loss</w:t>
            </w:r>
          </w:p>
        </w:tc>
        <w:tc>
          <w:tcPr>
            <w:tcW w:w="60" w:type="dxa"/>
            <w:tcBorders/>
            <w:shd w:fill="auto" w:val="clear"/>
            <w:vAlign w:val="center"/>
          </w:tcPr>
          <w:p>
            <w:pPr>
              <w:pStyle w:val="TableContents"/>
              <w:spacing w:before="0" w:after="283"/>
              <w:rPr/>
            </w:pPr>
            <w:r>
              <w:rPr/>
              <w:t> </w:t>
            </w:r>
          </w:p>
        </w:tc>
        <w:tc>
          <w:tcPr>
            <w:tcW w:w="187"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13" w:type="dxa"/>
            <w:tcBorders>
              <w:bottom w:val="double" w:sz="10" w:space="0" w:color="000000"/>
            </w:tcBorders>
            <w:shd w:fill="auto" w:val="clear"/>
            <w:tcMar>
              <w:bottom w:w="28" w:type="dxa"/>
            </w:tcMar>
            <w:vAlign w:val="center"/>
          </w:tcPr>
          <w:p>
            <w:pPr>
              <w:pStyle w:val="TableContents"/>
              <w:spacing w:before="0" w:after="283"/>
              <w:jc w:val="right"/>
              <w:rPr/>
            </w:pPr>
            <w:r>
              <w:rPr/>
              <w:t>(720,006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653" w:type="dxa"/>
            <w:tcBorders>
              <w:bottom w:val="double" w:sz="10" w:space="0" w:color="000000"/>
            </w:tcBorders>
            <w:shd w:fill="auto" w:val="clear"/>
            <w:tcMar>
              <w:bottom w:w="28" w:type="dxa"/>
            </w:tcMar>
            <w:vAlign w:val="center"/>
          </w:tcPr>
          <w:p>
            <w:pPr>
              <w:pStyle w:val="TableContents"/>
              <w:spacing w:before="0" w:after="283"/>
              <w:jc w:val="right"/>
              <w:rPr/>
            </w:pPr>
            <w:r>
              <w:rPr/>
              <w:t>(1,106</w:t>
            </w:r>
          </w:p>
        </w:tc>
        <w:tc>
          <w:tcPr>
            <w:tcW w:w="112" w:type="dxa"/>
            <w:tcBorders/>
            <w:shd w:fill="auto" w:val="clear"/>
            <w:vAlign w:val="center"/>
          </w:tcPr>
          <w:p>
            <w:pPr>
              <w:pStyle w:val="TableContents"/>
              <w:spacing w:before="0" w:after="283"/>
              <w:ind w:left="0" w:right="0" w:hanging="180"/>
              <w:jc w:val="left"/>
              <w:rPr/>
            </w:pPr>
            <w:r>
              <w:rPr/>
              <w:t>)</w:t>
            </w:r>
          </w:p>
        </w:tc>
      </w:tr>
      <w:tr>
        <w:trPr/>
        <w:tc>
          <w:tcPr>
            <w:tcW w:w="649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pPr>
            <w:r>
              <w:rPr/>
              <w:t> </w:t>
            </w:r>
          </w:p>
        </w:tc>
        <w:tc>
          <w:tcPr>
            <w:tcW w:w="13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4" w:type="dxa"/>
            <w:tcBorders/>
            <w:shd w:fill="CCEEFF" w:val="clear"/>
            <w:vAlign w:val="center"/>
          </w:tcPr>
          <w:p>
            <w:pPr>
              <w:pStyle w:val="TableContents"/>
              <w:spacing w:before="0" w:after="283"/>
              <w:jc w:val="left"/>
              <w:rPr/>
            </w:pPr>
            <w:r>
              <w:rPr/>
              <w:t> </w:t>
            </w:r>
          </w:p>
        </w:tc>
        <w:tc>
          <w:tcPr>
            <w:tcW w:w="1653" w:type="dxa"/>
            <w:tcBorders/>
            <w:shd w:fill="CCEEFF" w:val="clear"/>
            <w:vAlign w:val="center"/>
          </w:tcPr>
          <w:p>
            <w:pPr>
              <w:pStyle w:val="TableContents"/>
              <w:spacing w:before="0" w:after="283"/>
              <w:jc w:val="right"/>
              <w:rPr/>
            </w:pPr>
            <w:r>
              <w:rPr/>
              <w:t> </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Class A Common Stock – Weighted average shares outstanding, basic and diluted</w:t>
            </w:r>
          </w:p>
        </w:tc>
        <w:tc>
          <w:tcPr>
            <w:tcW w:w="60" w:type="dxa"/>
            <w:tcBorders/>
            <w:shd w:fill="auto" w:val="clear"/>
            <w:vAlign w:val="center"/>
          </w:tcPr>
          <w:p>
            <w:pPr>
              <w:pStyle w:val="TableContents"/>
              <w:spacing w:before="0" w:after="283"/>
              <w:rPr/>
            </w:pPr>
            <w:r>
              <w:rPr/>
              <w:t> </w:t>
            </w:r>
          </w:p>
        </w:tc>
        <w:tc>
          <w:tcPr>
            <w:tcW w:w="18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313" w:type="dxa"/>
            <w:tcBorders>
              <w:bottom w:val="double" w:sz="10" w:space="0" w:color="000000"/>
            </w:tcBorders>
            <w:shd w:fill="auto" w:val="clear"/>
            <w:tcMar>
              <w:bottom w:w="28" w:type="dxa"/>
            </w:tcMar>
            <w:vAlign w:val="center"/>
          </w:tcPr>
          <w:p>
            <w:pPr>
              <w:pStyle w:val="TableContents"/>
              <w:spacing w:before="0" w:after="283"/>
              <w:jc w:val="right"/>
              <w:rPr/>
            </w:pPr>
            <w:r>
              <w:rPr/>
              <w:t>8,072,272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4"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653"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2" w:type="dxa"/>
            <w:tcBorders/>
            <w:shd w:fill="auto" w:val="clear"/>
            <w:vAlign w:val="center"/>
          </w:tcPr>
          <w:p>
            <w:pPr>
              <w:pStyle w:val="TableContents"/>
              <w:spacing w:before="0" w:after="283"/>
              <w:ind w:left="0" w:right="0" w:hanging="180"/>
              <w:jc w:val="left"/>
              <w:rPr/>
            </w:pPr>
            <w:r>
              <w:rPr/>
              <w:t> </w:t>
            </w:r>
          </w:p>
        </w:tc>
      </w:tr>
      <w:tr>
        <w:trPr/>
        <w:tc>
          <w:tcPr>
            <w:tcW w:w="6491" w:type="dxa"/>
            <w:tcBorders/>
            <w:shd w:fill="CCEEFF" w:val="clear"/>
            <w:vAlign w:val="center"/>
          </w:tcPr>
          <w:p>
            <w:pPr>
              <w:pStyle w:val="TableContents"/>
              <w:spacing w:before="0" w:after="283"/>
              <w:jc w:val="left"/>
              <w:rPr/>
            </w:pPr>
            <w:r>
              <w:rPr/>
              <w:t>Class A Common Stock – Basic and diluted net loss per common share</w:t>
            </w:r>
          </w:p>
        </w:tc>
        <w:tc>
          <w:tcPr>
            <w:tcW w:w="60" w:type="dxa"/>
            <w:tcBorders/>
            <w:shd w:fill="CCEEFF" w:val="clear"/>
            <w:vAlign w:val="center"/>
          </w:tcPr>
          <w:p>
            <w:pPr>
              <w:pStyle w:val="TableContents"/>
              <w:spacing w:before="0" w:after="283"/>
              <w:rPr/>
            </w:pPr>
            <w:r>
              <w:rPr/>
              <w:t> </w:t>
            </w:r>
          </w:p>
        </w:tc>
        <w:tc>
          <w:tcPr>
            <w:tcW w:w="18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313" w:type="dxa"/>
            <w:tcBorders>
              <w:bottom w:val="double" w:sz="10" w:space="0" w:color="000000"/>
            </w:tcBorders>
            <w:shd w:fill="CCEEFF" w:val="clear"/>
            <w:tcMar>
              <w:bottom w:w="28" w:type="dxa"/>
            </w:tcMar>
            <w:vAlign w:val="center"/>
          </w:tcPr>
          <w:p>
            <w:pPr>
              <w:pStyle w:val="TableContents"/>
              <w:spacing w:before="0" w:after="283"/>
              <w:jc w:val="right"/>
              <w:rPr/>
            </w:pPr>
            <w:r>
              <w:rPr/>
              <w:t>(0.07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653"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112" w:type="dxa"/>
            <w:tcBorders/>
            <w:shd w:fill="CCEEFF" w:val="clear"/>
            <w:vAlign w:val="center"/>
          </w:tcPr>
          <w:p>
            <w:pPr>
              <w:pStyle w:val="TableContents"/>
              <w:spacing w:before="0" w:after="283"/>
              <w:ind w:left="0" w:right="0" w:hanging="180"/>
              <w:jc w:val="left"/>
              <w:rPr/>
            </w:pPr>
            <w:r>
              <w:rPr/>
              <w:t> </w:t>
            </w:r>
          </w:p>
        </w:tc>
      </w:tr>
      <w:tr>
        <w:trPr/>
        <w:tc>
          <w:tcPr>
            <w:tcW w:w="6491" w:type="dxa"/>
            <w:tcBorders/>
            <w:shd w:fill="auto" w:val="clear"/>
            <w:vAlign w:val="center"/>
          </w:tcPr>
          <w:p>
            <w:pPr>
              <w:pStyle w:val="TableContents"/>
              <w:spacing w:before="0" w:after="283"/>
              <w:jc w:val="left"/>
              <w:rPr/>
            </w:pPr>
            <w:r>
              <w:rPr/>
              <w:t>Class B Common Stock – Weighted average shares outstanding, basic and diluted</w:t>
            </w:r>
          </w:p>
        </w:tc>
        <w:tc>
          <w:tcPr>
            <w:tcW w:w="60" w:type="dxa"/>
            <w:tcBorders/>
            <w:shd w:fill="auto" w:val="clear"/>
            <w:vAlign w:val="center"/>
          </w:tcPr>
          <w:p>
            <w:pPr>
              <w:pStyle w:val="TableContents"/>
              <w:spacing w:before="0" w:after="283"/>
              <w:rPr/>
            </w:pPr>
            <w:r>
              <w:rPr/>
              <w:t> </w:t>
            </w:r>
          </w:p>
        </w:tc>
        <w:tc>
          <w:tcPr>
            <w:tcW w:w="187"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313" w:type="dxa"/>
            <w:tcBorders>
              <w:bottom w:val="double" w:sz="10" w:space="0" w:color="000000"/>
            </w:tcBorders>
            <w:shd w:fill="auto" w:val="clear"/>
            <w:tcMar>
              <w:bottom w:w="28" w:type="dxa"/>
            </w:tcMar>
            <w:vAlign w:val="center"/>
          </w:tcPr>
          <w:p>
            <w:pPr>
              <w:pStyle w:val="TableContents"/>
              <w:spacing w:before="0" w:after="283"/>
              <w:jc w:val="right"/>
              <w:rPr/>
            </w:pPr>
            <w:r>
              <w:rPr/>
              <w:t>1,938,038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4"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653" w:type="dxa"/>
            <w:tcBorders>
              <w:bottom w:val="double" w:sz="10" w:space="0" w:color="000000"/>
            </w:tcBorders>
            <w:shd w:fill="auto" w:val="clear"/>
            <w:tcMar>
              <w:bottom w:w="28" w:type="dxa"/>
            </w:tcMar>
            <w:vAlign w:val="center"/>
          </w:tcPr>
          <w:p>
            <w:pPr>
              <w:pStyle w:val="TableContents"/>
              <w:spacing w:before="0" w:after="283"/>
              <w:jc w:val="right"/>
              <w:rPr/>
            </w:pPr>
            <w:r>
              <w:rPr/>
              <w:t>1,875,000</w:t>
            </w:r>
          </w:p>
        </w:tc>
        <w:tc>
          <w:tcPr>
            <w:tcW w:w="112" w:type="dxa"/>
            <w:tcBorders/>
            <w:shd w:fill="auto" w:val="clear"/>
            <w:vAlign w:val="center"/>
          </w:tcPr>
          <w:p>
            <w:pPr>
              <w:pStyle w:val="TableContents"/>
              <w:spacing w:before="0" w:after="283"/>
              <w:ind w:left="0" w:right="0" w:hanging="180"/>
              <w:jc w:val="left"/>
              <w:rPr/>
            </w:pPr>
            <w:r>
              <w:rPr/>
              <w:t> </w:t>
            </w:r>
          </w:p>
        </w:tc>
      </w:tr>
      <w:tr>
        <w:trPr/>
        <w:tc>
          <w:tcPr>
            <w:tcW w:w="6491" w:type="dxa"/>
            <w:tcBorders/>
            <w:shd w:fill="CCEEFF" w:val="clear"/>
            <w:vAlign w:val="center"/>
          </w:tcPr>
          <w:p>
            <w:pPr>
              <w:pStyle w:val="TableContents"/>
              <w:spacing w:before="0" w:after="283"/>
              <w:jc w:val="left"/>
              <w:rPr/>
            </w:pPr>
            <w:r>
              <w:rPr/>
              <w:t>Class B Common Stock – Basic and diluted net loss per common share</w:t>
            </w:r>
          </w:p>
        </w:tc>
        <w:tc>
          <w:tcPr>
            <w:tcW w:w="60" w:type="dxa"/>
            <w:tcBorders/>
            <w:shd w:fill="CCEEFF" w:val="clear"/>
            <w:vAlign w:val="center"/>
          </w:tcPr>
          <w:p>
            <w:pPr>
              <w:pStyle w:val="TableContents"/>
              <w:spacing w:before="0" w:after="283"/>
              <w:rPr/>
            </w:pPr>
            <w:r>
              <w:rPr/>
              <w:t> </w:t>
            </w:r>
          </w:p>
        </w:tc>
        <w:tc>
          <w:tcPr>
            <w:tcW w:w="18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313" w:type="dxa"/>
            <w:tcBorders>
              <w:bottom w:val="double" w:sz="10" w:space="0" w:color="000000"/>
            </w:tcBorders>
            <w:shd w:fill="CCEEFF" w:val="clear"/>
            <w:tcMar>
              <w:bottom w:w="28" w:type="dxa"/>
            </w:tcMar>
            <w:vAlign w:val="center"/>
          </w:tcPr>
          <w:p>
            <w:pPr>
              <w:pStyle w:val="TableContents"/>
              <w:spacing w:before="0" w:after="283"/>
              <w:jc w:val="right"/>
              <w:rPr/>
            </w:pPr>
            <w:r>
              <w:rPr/>
              <w:t>(0.07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653" w:type="dxa"/>
            <w:tcBorders>
              <w:bottom w:val="double" w:sz="10" w:space="0" w:color="000000"/>
            </w:tcBorders>
            <w:shd w:fill="CCEEFF" w:val="clear"/>
            <w:tcMar>
              <w:bottom w:w="28" w:type="dxa"/>
            </w:tcMar>
            <w:vAlign w:val="center"/>
          </w:tcPr>
          <w:p>
            <w:pPr>
              <w:pStyle w:val="TableContents"/>
              <w:spacing w:before="0" w:after="283"/>
              <w:jc w:val="right"/>
              <w:rPr/>
            </w:pPr>
            <w:r>
              <w:rPr/>
              <w:t>(0.00</w:t>
            </w:r>
          </w:p>
        </w:tc>
        <w:tc>
          <w:tcPr>
            <w:tcW w:w="112" w:type="dxa"/>
            <w:tcBorders/>
            <w:shd w:fill="CCEEFF"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LARKSPUR HEALTH ACQUISITION CORP.</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SHAREHOLDERS’ DEFICIT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726" w:type="dxa"/>
        <w:jc w:val="left"/>
        <w:tblInd w:w="0" w:type="dxa"/>
        <w:tblCellMar>
          <w:top w:w="0" w:type="dxa"/>
          <w:left w:w="0" w:type="dxa"/>
          <w:bottom w:w="0" w:type="dxa"/>
          <w:right w:w="0" w:type="dxa"/>
        </w:tblCellMar>
      </w:tblPr>
      <w:tblGrid>
        <w:gridCol w:w="1040"/>
        <w:gridCol w:w="60"/>
        <w:gridCol w:w="131"/>
        <w:gridCol w:w="579"/>
        <w:gridCol w:w="68"/>
        <w:gridCol w:w="68"/>
        <w:gridCol w:w="297"/>
        <w:gridCol w:w="563"/>
        <w:gridCol w:w="60"/>
        <w:gridCol w:w="60"/>
        <w:gridCol w:w="60"/>
        <w:gridCol w:w="980"/>
        <w:gridCol w:w="60"/>
        <w:gridCol w:w="60"/>
        <w:gridCol w:w="231"/>
        <w:gridCol w:w="629"/>
        <w:gridCol w:w="60"/>
        <w:gridCol w:w="60"/>
        <w:gridCol w:w="187"/>
        <w:gridCol w:w="913"/>
        <w:gridCol w:w="60"/>
        <w:gridCol w:w="60"/>
        <w:gridCol w:w="204"/>
        <w:gridCol w:w="1106"/>
        <w:gridCol w:w="95"/>
        <w:gridCol w:w="60"/>
        <w:gridCol w:w="247"/>
        <w:gridCol w:w="1123"/>
        <w:gridCol w:w="95"/>
        <w:gridCol w:w="60"/>
        <w:gridCol w:w="242"/>
        <w:gridCol w:w="1098"/>
        <w:gridCol w:w="110"/>
      </w:tblGrid>
      <w:tr>
        <w:trPr/>
        <w:tc>
          <w:tcPr>
            <w:tcW w:w="10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706"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Class A</w:t>
              <w:b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Class B </w:t>
              <w:b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b/>
              </w:rPr>
            </w:pPr>
            <w:r>
              <w:rPr>
                <w:b/>
              </w:rPr>
              <w:t xml:space="preserve">Additional </w:t>
              <w:b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283"/>
              <w:jc w:val="center"/>
              <w:rPr>
                <w:b/>
              </w:rPr>
            </w:pPr>
            <w:r>
              <w:rPr>
                <w:b/>
              </w:rPr>
              <w:t>Subscription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jc w:val="center"/>
              <w:rPr>
                <w:b/>
              </w:rPr>
            </w:pPr>
            <w:r>
              <w:rPr>
                <w:b/>
              </w:rPr>
              <w:t>Total</w:t>
              <w:br/>
              <w:t>Stockholders’</w:t>
            </w:r>
          </w:p>
        </w:tc>
        <w:tc>
          <w:tcPr>
            <w:tcW w:w="110"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7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Receivables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110" w:type="dxa"/>
            <w:tcBorders/>
            <w:shd w:fill="auto" w:val="clear"/>
            <w:vAlign w:val="center"/>
          </w:tcPr>
          <w:p>
            <w:pPr>
              <w:pStyle w:val="TableContents"/>
              <w:spacing w:before="0" w:after="283"/>
              <w:ind w:left="0" w:right="0" w:hanging="180"/>
              <w:rPr/>
            </w:pPr>
            <w:r>
              <w:rPr/>
              <w:t> </w:t>
            </w:r>
          </w:p>
        </w:tc>
      </w:tr>
      <w:tr>
        <w:trPr/>
        <w:tc>
          <w:tcPr>
            <w:tcW w:w="1040" w:type="dxa"/>
            <w:tcBorders/>
            <w:shd w:fill="CCEEFF" w:val="clear"/>
            <w:vAlign w:val="center"/>
          </w:tcPr>
          <w:p>
            <w:pPr>
              <w:pStyle w:val="TableContents"/>
              <w:spacing w:before="0" w:after="283"/>
              <w:rPr>
                <w:b/>
              </w:rPr>
            </w:pPr>
            <w:r>
              <w:rPr>
                <w:b/>
              </w:rPr>
              <w:t>Balance, March 17, 2021 (inception)</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jc w:val="left"/>
              <w:rPr/>
            </w:pPr>
            <w:r>
              <w:rPr/>
              <w:t> </w:t>
            </w:r>
          </w:p>
        </w:tc>
        <w:tc>
          <w:tcPr>
            <w:tcW w:w="579" w:type="dxa"/>
            <w:tcBorders/>
            <w:shd w:fill="CCEEFF" w:val="clear"/>
            <w:vAlign w:val="center"/>
          </w:tcPr>
          <w:p>
            <w:pPr>
              <w:pStyle w:val="TableContents"/>
              <w:spacing w:before="0" w:after="0"/>
              <w:jc w:val="right"/>
              <w:rPr/>
            </w:pPr>
            <w:r>
              <w:rPr/>
              <w:t>—</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297" w:type="dxa"/>
            <w:tcBorders/>
            <w:shd w:fill="CCEEFF" w:val="clear"/>
            <w:vAlign w:val="center"/>
          </w:tcPr>
          <w:p>
            <w:pPr>
              <w:pStyle w:val="TableContents"/>
              <w:spacing w:before="0" w:after="283"/>
              <w:jc w:val="left"/>
              <w:rPr>
                <w:b/>
              </w:rPr>
            </w:pPr>
            <w:r>
              <w:rPr>
                <w:b/>
              </w:rPr>
              <w:t>$</w:t>
            </w:r>
          </w:p>
        </w:tc>
        <w:tc>
          <w:tcPr>
            <w:tcW w:w="56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b/>
              </w:rPr>
            </w:pPr>
            <w:r>
              <w:rPr>
                <w:b/>
              </w:rPr>
              <w:t>$</w:t>
            </w:r>
          </w:p>
        </w:tc>
        <w:tc>
          <w:tcPr>
            <w:tcW w:w="629"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shd w:fill="CCEEFF" w:val="clear"/>
            <w:vAlign w:val="center"/>
          </w:tcPr>
          <w:p>
            <w:pPr>
              <w:pStyle w:val="TableContents"/>
              <w:spacing w:before="0" w:after="283"/>
              <w:jc w:val="left"/>
              <w:rPr>
                <w:b/>
              </w:rPr>
            </w:pPr>
            <w:r>
              <w:rPr>
                <w:b/>
              </w:rPr>
              <w:t>$</w:t>
            </w:r>
          </w:p>
        </w:tc>
        <w:tc>
          <w:tcPr>
            <w:tcW w:w="913"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jc w:val="left"/>
              <w:rPr>
                <w:b/>
              </w:rPr>
            </w:pPr>
            <w:r>
              <w:rPr>
                <w:b/>
              </w:rPr>
              <w:t>$</w:t>
            </w:r>
          </w:p>
        </w:tc>
        <w:tc>
          <w:tcPr>
            <w:tcW w:w="1106"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jc w:val="left"/>
              <w:rPr>
                <w:b/>
              </w:rPr>
            </w:pPr>
            <w:r>
              <w:rPr>
                <w:b/>
              </w:rPr>
              <w:t>$</w:t>
            </w:r>
          </w:p>
        </w:tc>
        <w:tc>
          <w:tcPr>
            <w:tcW w:w="1123"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2" w:type="dxa"/>
            <w:tcBorders/>
            <w:shd w:fill="CCEEFF" w:val="clear"/>
            <w:vAlign w:val="center"/>
          </w:tcPr>
          <w:p>
            <w:pPr>
              <w:pStyle w:val="TableContents"/>
              <w:spacing w:before="0" w:after="283"/>
              <w:jc w:val="left"/>
              <w:rPr>
                <w:b/>
              </w:rPr>
            </w:pPr>
            <w:r>
              <w:rPr>
                <w:b/>
              </w:rPr>
              <w:t>$</w:t>
            </w:r>
          </w:p>
        </w:tc>
        <w:tc>
          <w:tcPr>
            <w:tcW w:w="1098"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ind w:left="0" w:right="0" w:hanging="180"/>
              <w:jc w:val="left"/>
              <w:rPr/>
            </w:pPr>
            <w:r>
              <w:rPr/>
              <w:t> </w:t>
            </w:r>
          </w:p>
        </w:tc>
      </w:tr>
      <w:tr>
        <w:trPr/>
        <w:tc>
          <w:tcPr>
            <w:tcW w:w="1040" w:type="dxa"/>
            <w:tcBorders/>
            <w:shd w:fill="auto" w:val="clear"/>
            <w:vAlign w:val="center"/>
          </w:tcPr>
          <w:p>
            <w:pPr>
              <w:pStyle w:val="TableContents"/>
              <w:spacing w:before="0" w:after="283"/>
              <w:jc w:val="left"/>
              <w:rPr>
                <w:sz w:val="20"/>
              </w:rPr>
            </w:pPr>
            <w:r>
              <w:rPr>
                <w:sz w:val="20"/>
              </w:rPr>
              <w:t>Issuance of Class B common stock to Sponsor</w:t>
            </w:r>
            <w:r>
              <w:rPr>
                <w:position w:val="7"/>
                <w:sz w:val="16"/>
                <w:sz w:val="20"/>
              </w:rPr>
              <w:t>(1)</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jc w:val="left"/>
              <w:rPr/>
            </w:pPr>
            <w:r>
              <w:rPr/>
              <w:t> </w:t>
            </w:r>
          </w:p>
        </w:tc>
        <w:tc>
          <w:tcPr>
            <w:tcW w:w="579" w:type="dxa"/>
            <w:tcBorders/>
            <w:shd w:fill="auto" w:val="clear"/>
            <w:vAlign w:val="center"/>
          </w:tcPr>
          <w:p>
            <w:pPr>
              <w:pStyle w:val="TableContents"/>
              <w:spacing w:before="0" w:after="0"/>
              <w:jc w:val="right"/>
              <w:rPr/>
            </w:pPr>
            <w:r>
              <w:rPr/>
              <w:t>—</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pPr>
            <w:r>
              <w:rPr/>
              <w:t> </w:t>
            </w:r>
          </w:p>
        </w:tc>
        <w:tc>
          <w:tcPr>
            <w:tcW w:w="297" w:type="dxa"/>
            <w:tcBorders/>
            <w:shd w:fill="auto" w:val="clear"/>
            <w:vAlign w:val="center"/>
          </w:tcPr>
          <w:p>
            <w:pPr>
              <w:pStyle w:val="TableContents"/>
              <w:spacing w:before="0" w:after="283"/>
              <w:jc w:val="left"/>
              <w:rPr/>
            </w:pPr>
            <w:r>
              <w:rPr/>
              <w:t> </w:t>
            </w:r>
          </w:p>
        </w:tc>
        <w:tc>
          <w:tcPr>
            <w:tcW w:w="563"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2,156,250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216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jc w:val="left"/>
              <w:rPr/>
            </w:pPr>
            <w:r>
              <w:rPr/>
              <w:t> </w:t>
            </w:r>
          </w:p>
        </w:tc>
        <w:tc>
          <w:tcPr>
            <w:tcW w:w="913" w:type="dxa"/>
            <w:tcBorders/>
            <w:shd w:fill="auto" w:val="clear"/>
            <w:vAlign w:val="center"/>
          </w:tcPr>
          <w:p>
            <w:pPr>
              <w:pStyle w:val="TableContents"/>
              <w:spacing w:before="0" w:after="283"/>
              <w:jc w:val="right"/>
              <w:rPr/>
            </w:pPr>
            <w:r>
              <w:rPr/>
              <w:t>24,784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jc w:val="left"/>
              <w:rPr/>
            </w:pPr>
            <w:r>
              <w:rPr/>
              <w:t> </w:t>
            </w:r>
          </w:p>
        </w:tc>
        <w:tc>
          <w:tcPr>
            <w:tcW w:w="1106" w:type="dxa"/>
            <w:tcBorders/>
            <w:shd w:fill="auto" w:val="clear"/>
            <w:vAlign w:val="center"/>
          </w:tcPr>
          <w:p>
            <w:pPr>
              <w:pStyle w:val="TableContents"/>
              <w:spacing w:before="0" w:after="283"/>
              <w:jc w:val="right"/>
              <w:rPr/>
            </w:pPr>
            <w:r>
              <w:rPr/>
              <w:t>(24,333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jc w:val="left"/>
              <w:rPr/>
            </w:pPr>
            <w:r>
              <w:rPr/>
              <w:t> </w:t>
            </w:r>
          </w:p>
        </w:tc>
        <w:tc>
          <w:tcPr>
            <w:tcW w:w="1123"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jc w:val="left"/>
              <w:rPr/>
            </w:pPr>
            <w:r>
              <w:rPr/>
              <w:t> </w:t>
            </w:r>
          </w:p>
        </w:tc>
        <w:tc>
          <w:tcPr>
            <w:tcW w:w="1098" w:type="dxa"/>
            <w:tcBorders/>
            <w:shd w:fill="auto" w:val="clear"/>
            <w:vAlign w:val="center"/>
          </w:tcPr>
          <w:p>
            <w:pPr>
              <w:pStyle w:val="TableContents"/>
              <w:spacing w:before="0" w:after="283"/>
              <w:jc w:val="right"/>
              <w:rPr/>
            </w:pPr>
            <w:r>
              <w:rPr/>
              <w:t>667</w:t>
            </w:r>
          </w:p>
        </w:tc>
        <w:tc>
          <w:tcPr>
            <w:tcW w:w="110" w:type="dxa"/>
            <w:tcBorders/>
            <w:shd w:fill="auto" w:val="clear"/>
            <w:vAlign w:val="center"/>
          </w:tcPr>
          <w:p>
            <w:pPr>
              <w:pStyle w:val="TableContents"/>
              <w:spacing w:before="0" w:after="283"/>
              <w:ind w:left="0" w:right="0" w:hanging="180"/>
              <w:jc w:val="left"/>
              <w:rPr/>
            </w:pPr>
            <w:r>
              <w:rPr/>
              <w:t> </w:t>
            </w:r>
          </w:p>
        </w:tc>
      </w:tr>
      <w:tr>
        <w:trPr/>
        <w:tc>
          <w:tcPr>
            <w:tcW w:w="104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79"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8"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29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7"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spacing w:before="0" w:after="283"/>
              <w:jc w:val="right"/>
              <w:rPr/>
            </w:pPr>
            <w:r>
              <w:rPr/>
              <w:t>(1,106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spacing w:before="0" w:after="283"/>
              <w:jc w:val="right"/>
              <w:rPr/>
            </w:pPr>
            <w:r>
              <w:rPr/>
              <w:t>(1,106</w:t>
            </w:r>
          </w:p>
        </w:tc>
        <w:tc>
          <w:tcPr>
            <w:tcW w:w="110" w:type="dxa"/>
            <w:tcBorders/>
            <w:shd w:fill="CCEEFF" w:val="clear"/>
            <w:vAlign w:val="center"/>
          </w:tcPr>
          <w:p>
            <w:pPr>
              <w:pStyle w:val="TableContents"/>
              <w:spacing w:before="0" w:after="283"/>
              <w:ind w:left="0" w:right="0" w:hanging="180"/>
              <w:jc w:val="left"/>
              <w:rPr/>
            </w:pPr>
            <w:r>
              <w:rPr/>
              <w:t>)</w:t>
            </w:r>
          </w:p>
        </w:tc>
      </w:tr>
      <w:tr>
        <w:trPr/>
        <w:tc>
          <w:tcPr>
            <w:tcW w:w="1040" w:type="dxa"/>
            <w:tcBorders/>
            <w:shd w:fill="auto" w:val="clear"/>
            <w:vAlign w:val="center"/>
          </w:tcPr>
          <w:p>
            <w:pPr>
              <w:pStyle w:val="TableContents"/>
              <w:spacing w:before="0" w:after="283"/>
              <w:rPr>
                <w:b/>
              </w:rPr>
            </w:pPr>
            <w:r>
              <w:rPr>
                <w:b/>
              </w:rPr>
              <w:t>Balance, March 31, 2021</w:t>
            </w:r>
          </w:p>
        </w:tc>
        <w:tc>
          <w:tcPr>
            <w:tcW w:w="60" w:type="dxa"/>
            <w:tcBorders/>
            <w:shd w:fill="auto" w:val="clear"/>
            <w:vAlign w:val="center"/>
          </w:tcPr>
          <w:p>
            <w:pPr>
              <w:pStyle w:val="TableContents"/>
              <w:spacing w:before="0" w:after="283"/>
              <w:rPr/>
            </w:pPr>
            <w:r>
              <w:rPr/>
              <w:t> </w:t>
            </w:r>
          </w:p>
        </w:tc>
        <w:tc>
          <w:tcPr>
            <w:tcW w:w="131"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579" w:type="dxa"/>
            <w:tcBorders>
              <w:bottom w:val="double" w:sz="10" w:space="0" w:color="000000"/>
            </w:tcBorders>
            <w:shd w:fill="auto" w:val="clear"/>
            <w:tcMar>
              <w:bottom w:w="28" w:type="dxa"/>
            </w:tcMar>
            <w:vAlign w:val="center"/>
          </w:tcPr>
          <w:p>
            <w:pPr>
              <w:pStyle w:val="TableContents"/>
              <w:spacing w:before="0" w:after="283"/>
              <w:jc w:val="right"/>
              <w:rPr/>
            </w:pPr>
            <w:r>
              <w:rPr/>
              <w:t>—</w:t>
            </w:r>
          </w:p>
        </w:tc>
        <w:tc>
          <w:tcPr>
            <w:tcW w:w="68" w:type="dxa"/>
            <w:tcBorders/>
            <w:shd w:fill="auto" w:val="clear"/>
            <w:vAlign w:val="center"/>
          </w:tcPr>
          <w:p>
            <w:pPr>
              <w:pStyle w:val="TableContents"/>
              <w:spacing w:before="0" w:after="283"/>
              <w:jc w:val="left"/>
              <w:rPr/>
            </w:pPr>
            <w:r>
              <w:rPr/>
              <w:t> </w:t>
            </w:r>
          </w:p>
        </w:tc>
        <w:tc>
          <w:tcPr>
            <w:tcW w:w="68" w:type="dxa"/>
            <w:tcBorders/>
            <w:shd w:fill="auto" w:val="clear"/>
            <w:vAlign w:val="center"/>
          </w:tcPr>
          <w:p>
            <w:pPr>
              <w:pStyle w:val="TableContents"/>
              <w:spacing w:before="0" w:after="283"/>
              <w:rPr/>
            </w:pPr>
            <w:r>
              <w:rPr/>
              <w:t> </w:t>
            </w:r>
          </w:p>
        </w:tc>
        <w:tc>
          <w:tcPr>
            <w:tcW w:w="297"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563" w:type="dxa"/>
            <w:tcBorders>
              <w:bottom w:val="double" w:sz="10"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auto" w:val="clear"/>
            <w:tcMar>
              <w:bottom w:w="28" w:type="dxa"/>
            </w:tcMar>
            <w:vAlign w:val="center"/>
          </w:tcPr>
          <w:p>
            <w:pPr>
              <w:pStyle w:val="TableContents"/>
              <w:spacing w:before="0" w:after="283"/>
              <w:jc w:val="right"/>
              <w:rPr>
                <w:b/>
              </w:rPr>
            </w:pPr>
            <w:r>
              <w:rPr>
                <w:b/>
              </w:rPr>
              <w:t>2,156,250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629" w:type="dxa"/>
            <w:tcBorders>
              <w:bottom w:val="double" w:sz="10" w:space="0" w:color="000000"/>
            </w:tcBorders>
            <w:shd w:fill="auto" w:val="clear"/>
            <w:tcMar>
              <w:bottom w:w="28" w:type="dxa"/>
            </w:tcMar>
            <w:vAlign w:val="center"/>
          </w:tcPr>
          <w:p>
            <w:pPr>
              <w:pStyle w:val="TableContents"/>
              <w:spacing w:before="0" w:after="283"/>
              <w:jc w:val="right"/>
              <w:rPr>
                <w:b/>
              </w:rPr>
            </w:pPr>
            <w:r>
              <w:rPr>
                <w:b/>
              </w:rPr>
              <w:t>216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7"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913" w:type="dxa"/>
            <w:tcBorders>
              <w:bottom w:val="double" w:sz="10" w:space="0" w:color="000000"/>
            </w:tcBorders>
            <w:shd w:fill="auto" w:val="clear"/>
            <w:tcMar>
              <w:bottom w:w="28" w:type="dxa"/>
            </w:tcMar>
            <w:vAlign w:val="center"/>
          </w:tcPr>
          <w:p>
            <w:pPr>
              <w:pStyle w:val="TableContents"/>
              <w:spacing w:before="0" w:after="283"/>
              <w:jc w:val="right"/>
              <w:rPr>
                <w:b/>
              </w:rPr>
            </w:pPr>
            <w:r>
              <w:rPr>
                <w:b/>
              </w:rPr>
              <w:t>24,784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4"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6" w:type="dxa"/>
            <w:tcBorders>
              <w:bottom w:val="double" w:sz="10" w:space="0" w:color="000000"/>
            </w:tcBorders>
            <w:shd w:fill="auto" w:val="clear"/>
            <w:tcMar>
              <w:bottom w:w="28" w:type="dxa"/>
            </w:tcMar>
            <w:vAlign w:val="center"/>
          </w:tcPr>
          <w:p>
            <w:pPr>
              <w:pStyle w:val="TableContents"/>
              <w:spacing w:before="0" w:after="283"/>
              <w:jc w:val="right"/>
              <w:rPr>
                <w:b/>
              </w:rPr>
            </w:pPr>
            <w:r>
              <w:rPr>
                <w:b/>
              </w:rPr>
              <w:t>(24,333</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247"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23" w:type="dxa"/>
            <w:tcBorders>
              <w:bottom w:val="double" w:sz="10" w:space="0" w:color="000000"/>
            </w:tcBorders>
            <w:shd w:fill="auto" w:val="clear"/>
            <w:tcMar>
              <w:bottom w:w="28" w:type="dxa"/>
            </w:tcMar>
            <w:vAlign w:val="center"/>
          </w:tcPr>
          <w:p>
            <w:pPr>
              <w:pStyle w:val="TableContents"/>
              <w:spacing w:before="0" w:after="283"/>
              <w:jc w:val="right"/>
              <w:rPr>
                <w:b/>
              </w:rPr>
            </w:pPr>
            <w:r>
              <w:rPr>
                <w:b/>
              </w:rPr>
              <w:t>(1,106</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242"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98" w:type="dxa"/>
            <w:tcBorders>
              <w:bottom w:val="double" w:sz="10" w:space="0" w:color="000000"/>
            </w:tcBorders>
            <w:shd w:fill="auto" w:val="clear"/>
            <w:tcMar>
              <w:bottom w:w="28" w:type="dxa"/>
            </w:tcMar>
            <w:vAlign w:val="center"/>
          </w:tcPr>
          <w:p>
            <w:pPr>
              <w:pStyle w:val="TableContents"/>
              <w:spacing w:before="0" w:after="283"/>
              <w:jc w:val="right"/>
              <w:rPr>
                <w:b/>
              </w:rPr>
            </w:pPr>
            <w:r>
              <w:rPr>
                <w:b/>
              </w:rPr>
              <w:t>(439</w:t>
            </w:r>
          </w:p>
        </w:tc>
        <w:tc>
          <w:tcPr>
            <w:tcW w:w="110" w:type="dxa"/>
            <w:tcBorders/>
            <w:shd w:fill="auto" w:val="clear"/>
            <w:vAlign w:val="center"/>
          </w:tcPr>
          <w:p>
            <w:pPr>
              <w:pStyle w:val="TableContents"/>
              <w:spacing w:before="0" w:after="283"/>
              <w:jc w:val="left"/>
              <w:rPr>
                <w:b/>
              </w:rPr>
            </w:pPr>
            <w:r>
              <w:rPr>
                <w:b/>
              </w:rPr>
              <w: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rPr>
                <w:sz w:val="20"/>
              </w:rPr>
            </w:pPr>
            <w:r>
              <w:rPr>
                <w:sz w:val="20"/>
              </w:rPr>
              <w:t>(1)</w:t>
            </w:r>
          </w:p>
        </w:tc>
        <w:tc>
          <w:tcPr>
            <w:tcW w:w="9969" w:type="dxa"/>
            <w:tcBorders/>
            <w:shd w:fill="auto" w:val="clear"/>
            <w:vAlign w:val="center"/>
          </w:tcPr>
          <w:p>
            <w:pPr>
              <w:pStyle w:val="TableContents"/>
              <w:spacing w:before="0" w:after="283"/>
              <w:jc w:val="both"/>
              <w:rPr>
                <w:sz w:val="20"/>
              </w:rPr>
            </w:pPr>
            <w:r>
              <w:rPr>
                <w:sz w:val="20"/>
              </w:rPr>
              <w:t>Includes an aggregate of up to 281,250 shares of Class B common stock subject to forfeiture if the over-allotment option is not exercised in full or in part by the underwriters (see Notes 5 and 7).</w:t>
            </w:r>
          </w:p>
        </w:tc>
      </w:tr>
    </w:tbl>
    <w:p>
      <w:pPr>
        <w:pStyle w:val="TextBody"/>
        <w:spacing w:before="0" w:after="0"/>
        <w:ind w:left="0" w:right="0" w:hanging="0"/>
        <w:jc w:val="both"/>
        <w:rPr>
          <w:caps w:val="false"/>
          <w:smallCaps w:val="false"/>
        </w:rPr>
      </w:pPr>
      <w:r>
        <w:rPr>
          <w:caps w:val="false"/>
          <w:smallCaps w:val="false"/>
        </w:rPr>
        <w:t> </w:t>
      </w:r>
    </w:p>
    <w:tbl>
      <w:tblPr>
        <w:tblW w:w="10760" w:type="dxa"/>
        <w:jc w:val="left"/>
        <w:tblInd w:w="0" w:type="dxa"/>
        <w:tblCellMar>
          <w:top w:w="0" w:type="dxa"/>
          <w:left w:w="0" w:type="dxa"/>
          <w:bottom w:w="0" w:type="dxa"/>
          <w:right w:w="0" w:type="dxa"/>
        </w:tblCellMar>
      </w:tblPr>
      <w:tblGrid>
        <w:gridCol w:w="905"/>
        <w:gridCol w:w="60"/>
        <w:gridCol w:w="60"/>
        <w:gridCol w:w="800"/>
        <w:gridCol w:w="60"/>
        <w:gridCol w:w="60"/>
        <w:gridCol w:w="301"/>
        <w:gridCol w:w="559"/>
        <w:gridCol w:w="60"/>
        <w:gridCol w:w="60"/>
        <w:gridCol w:w="60"/>
        <w:gridCol w:w="980"/>
        <w:gridCol w:w="95"/>
        <w:gridCol w:w="60"/>
        <w:gridCol w:w="231"/>
        <w:gridCol w:w="629"/>
        <w:gridCol w:w="95"/>
        <w:gridCol w:w="60"/>
        <w:gridCol w:w="163"/>
        <w:gridCol w:w="937"/>
        <w:gridCol w:w="60"/>
        <w:gridCol w:w="60"/>
        <w:gridCol w:w="195"/>
        <w:gridCol w:w="1115"/>
        <w:gridCol w:w="60"/>
        <w:gridCol w:w="60"/>
        <w:gridCol w:w="160"/>
        <w:gridCol w:w="1210"/>
        <w:gridCol w:w="95"/>
        <w:gridCol w:w="60"/>
        <w:gridCol w:w="156"/>
        <w:gridCol w:w="1184"/>
        <w:gridCol w:w="110"/>
      </w:tblGrid>
      <w:tr>
        <w:trPr/>
        <w:tc>
          <w:tcPr>
            <w:tcW w:w="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84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Class A</w:t>
              <w:b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Class B </w:t>
              <w:br/>
              <w:t>Common Stock</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shd w:fill="auto" w:val="clear"/>
            <w:vAlign w:val="center"/>
          </w:tcPr>
          <w:p>
            <w:pPr>
              <w:pStyle w:val="TableContents"/>
              <w:spacing w:before="0" w:after="283"/>
              <w:jc w:val="center"/>
              <w:rPr>
                <w:b/>
              </w:rPr>
            </w:pPr>
            <w:r>
              <w:rPr>
                <w:b/>
              </w:rPr>
              <w:t xml:space="preserve">Additional </w:t>
              <w:b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283"/>
              <w:jc w:val="center"/>
              <w:rPr>
                <w:b/>
              </w:rPr>
            </w:pPr>
            <w:r>
              <w:rPr>
                <w:b/>
              </w:rPr>
              <w:t>Subscription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jc w:val="center"/>
              <w:rPr>
                <w:b/>
              </w:rPr>
            </w:pPr>
            <w:r>
              <w:rPr>
                <w:b/>
              </w:rPr>
              <w:t>Total</w:t>
              <w:br/>
              <w:t>Stockholders’</w:t>
            </w:r>
          </w:p>
        </w:tc>
        <w:tc>
          <w:tcPr>
            <w:tcW w:w="110" w:type="dxa"/>
            <w:tcBorders/>
            <w:shd w:fill="auto" w:val="clear"/>
            <w:vAlign w:val="center"/>
          </w:tcPr>
          <w:p>
            <w:pPr>
              <w:pStyle w:val="TableContents"/>
              <w:spacing w:before="0" w:after="283"/>
              <w:rPr/>
            </w:pPr>
            <w:r>
              <w:rPr/>
              <w:t> </w:t>
            </w:r>
          </w:p>
        </w:tc>
      </w:tr>
      <w:tr>
        <w:trPr/>
        <w:tc>
          <w:tcPr>
            <w:tcW w:w="90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Receivables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Deficit</w:t>
            </w:r>
          </w:p>
        </w:tc>
        <w:tc>
          <w:tcPr>
            <w:tcW w:w="110" w:type="dxa"/>
            <w:tcBorders/>
            <w:shd w:fill="auto" w:val="clear"/>
            <w:vAlign w:val="center"/>
          </w:tcPr>
          <w:p>
            <w:pPr>
              <w:pStyle w:val="TableContents"/>
              <w:spacing w:before="0" w:after="283"/>
              <w:ind w:left="0" w:right="0" w:hanging="180"/>
              <w:rPr/>
            </w:pPr>
            <w:r>
              <w:rPr/>
              <w:t> </w:t>
            </w:r>
          </w:p>
        </w:tc>
      </w:tr>
      <w:tr>
        <w:trPr/>
        <w:tc>
          <w:tcPr>
            <w:tcW w:w="905" w:type="dxa"/>
            <w:tcBorders/>
            <w:shd w:fill="CCEEFF" w:val="clear"/>
            <w:vAlign w:val="center"/>
          </w:tcPr>
          <w:p>
            <w:pPr>
              <w:pStyle w:val="TableContents"/>
              <w:spacing w:before="0" w:after="283"/>
              <w:rPr>
                <w:b/>
              </w:rPr>
            </w:pPr>
            <w:r>
              <w:rPr>
                <w:b/>
              </w:rPr>
              <w:t>Balance, January 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b/>
              </w:rPr>
            </w:pPr>
            <w:r>
              <w:rPr>
                <w:b/>
              </w:rPr>
              <w:t>317,600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1" w:type="dxa"/>
            <w:tcBorders/>
            <w:shd w:fill="CCEEFF" w:val="clear"/>
            <w:vAlign w:val="center"/>
          </w:tcPr>
          <w:p>
            <w:pPr>
              <w:pStyle w:val="TableContents"/>
              <w:spacing w:before="0" w:after="283"/>
              <w:jc w:val="left"/>
              <w:rPr>
                <w:b/>
              </w:rPr>
            </w:pPr>
            <w:r>
              <w:rPr>
                <w:b/>
              </w:rPr>
              <w:t>$</w:t>
            </w:r>
          </w:p>
        </w:tc>
        <w:tc>
          <w:tcPr>
            <w:tcW w:w="559" w:type="dxa"/>
            <w:tcBorders/>
            <w:shd w:fill="CCEEFF" w:val="clear"/>
            <w:vAlign w:val="center"/>
          </w:tcPr>
          <w:p>
            <w:pPr>
              <w:pStyle w:val="TableContents"/>
              <w:spacing w:before="0" w:after="283"/>
              <w:jc w:val="right"/>
              <w:rPr>
                <w:b/>
              </w:rPr>
            </w:pPr>
            <w:r>
              <w:rPr>
                <w:b/>
              </w:rPr>
              <w:t>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b/>
              </w:rPr>
            </w:pPr>
            <w:r>
              <w:rPr>
                <w:b/>
              </w:rPr>
              <w:t>2,156,250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b/>
              </w:rPr>
            </w:pPr>
            <w:r>
              <w:rPr>
                <w:b/>
              </w:rPr>
              <w:t>$</w:t>
            </w:r>
          </w:p>
        </w:tc>
        <w:tc>
          <w:tcPr>
            <w:tcW w:w="629" w:type="dxa"/>
            <w:tcBorders/>
            <w:shd w:fill="CCEEFF" w:val="clear"/>
            <w:vAlign w:val="center"/>
          </w:tcPr>
          <w:p>
            <w:pPr>
              <w:pStyle w:val="TableContents"/>
              <w:spacing w:before="0" w:after="283"/>
              <w:jc w:val="right"/>
              <w:rPr>
                <w:b/>
              </w:rPr>
            </w:pPr>
            <w:r>
              <w:rPr>
                <w:b/>
              </w:rPr>
              <w:t>216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b/>
              </w:rPr>
            </w:pPr>
            <w:r>
              <w:rPr>
                <w:b/>
              </w:rPr>
              <w:t>$</w:t>
            </w:r>
          </w:p>
        </w:tc>
        <w:tc>
          <w:tcPr>
            <w:tcW w:w="937" w:type="dxa"/>
            <w:tcBorders/>
            <w:shd w:fill="CCEEFF" w:val="clear"/>
            <w:vAlign w:val="center"/>
          </w:tcPr>
          <w:p>
            <w:pPr>
              <w:pStyle w:val="TableContents"/>
              <w:spacing w:before="0" w:after="0"/>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b/>
              </w:rPr>
            </w:pPr>
            <w:r>
              <w:rPr>
                <w:b/>
              </w:rPr>
              <w:t>$</w:t>
            </w:r>
          </w:p>
        </w:tc>
        <w:tc>
          <w:tcPr>
            <w:tcW w:w="1115" w:type="dxa"/>
            <w:tcBorders/>
            <w:shd w:fill="CCEEFF" w:val="clear"/>
            <w:vAlign w:val="center"/>
          </w:tcPr>
          <w:p>
            <w:pPr>
              <w:pStyle w:val="TableContents"/>
              <w:spacing w:before="0" w:after="0"/>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w:t>
            </w:r>
          </w:p>
        </w:tc>
        <w:tc>
          <w:tcPr>
            <w:tcW w:w="1210" w:type="dxa"/>
            <w:tcBorders/>
            <w:shd w:fill="CCEEFF" w:val="clear"/>
            <w:vAlign w:val="center"/>
          </w:tcPr>
          <w:p>
            <w:pPr>
              <w:pStyle w:val="TableContents"/>
              <w:spacing w:before="0" w:after="283"/>
              <w:jc w:val="right"/>
              <w:rPr/>
            </w:pPr>
            <w:r>
              <w:rPr/>
              <w:t>(2,258,726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jc w:val="left"/>
              <w:rPr/>
            </w:pPr>
            <w:r>
              <w:rPr/>
              <w:t>$</w:t>
            </w:r>
          </w:p>
        </w:tc>
        <w:tc>
          <w:tcPr>
            <w:tcW w:w="1184" w:type="dxa"/>
            <w:tcBorders/>
            <w:shd w:fill="CCEEFF" w:val="clear"/>
            <w:vAlign w:val="center"/>
          </w:tcPr>
          <w:p>
            <w:pPr>
              <w:pStyle w:val="TableContents"/>
              <w:spacing w:before="0" w:after="283"/>
              <w:jc w:val="right"/>
              <w:rPr/>
            </w:pPr>
            <w:r>
              <w:rPr/>
              <w:t>(2,258,478</w:t>
            </w:r>
          </w:p>
        </w:tc>
        <w:tc>
          <w:tcPr>
            <w:tcW w:w="110" w:type="dxa"/>
            <w:tcBorders/>
            <w:shd w:fill="CCEEFF" w:val="clear"/>
            <w:vAlign w:val="center"/>
          </w:tcPr>
          <w:p>
            <w:pPr>
              <w:pStyle w:val="TableContents"/>
              <w:spacing w:before="0" w:after="283"/>
              <w:ind w:left="0" w:right="0" w:hanging="180"/>
              <w:jc w:val="left"/>
              <w:rPr/>
            </w:pPr>
            <w:r>
              <w:rPr/>
              <w:t>)</w:t>
            </w:r>
          </w:p>
        </w:tc>
      </w:tr>
      <w:tr>
        <w:trPr/>
        <w:tc>
          <w:tcPr>
            <w:tcW w:w="905" w:type="dxa"/>
            <w:tcBorders/>
            <w:shd w:fill="auto" w:val="clear"/>
            <w:vAlign w:val="center"/>
          </w:tcPr>
          <w:p>
            <w:pPr>
              <w:pStyle w:val="TableContents"/>
              <w:spacing w:before="0" w:after="283"/>
              <w:jc w:val="left"/>
              <w:rPr/>
            </w:pPr>
            <w:r>
              <w:rPr/>
              <w:t>Forfeit of shares upon partial exercise of over allotment 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jc w:val="left"/>
              <w:rPr/>
            </w:pPr>
            <w:r>
              <w:rPr/>
              <w:t> </w:t>
            </w:r>
          </w:p>
        </w:tc>
        <w:tc>
          <w:tcPr>
            <w:tcW w:w="559"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(214,460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 </w:t>
            </w:r>
          </w:p>
        </w:tc>
        <w:tc>
          <w:tcPr>
            <w:tcW w:w="629" w:type="dxa"/>
            <w:tcBorders/>
            <w:shd w:fill="auto" w:val="clear"/>
            <w:vAlign w:val="center"/>
          </w:tcPr>
          <w:p>
            <w:pPr>
              <w:pStyle w:val="TableContents"/>
              <w:spacing w:before="0" w:after="283"/>
              <w:jc w:val="right"/>
              <w:rPr/>
            </w:pPr>
            <w:r>
              <w:rPr/>
              <w:t>(22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937" w:type="dxa"/>
            <w:tcBorders/>
            <w:shd w:fill="auto" w:val="clear"/>
            <w:vAlign w:val="center"/>
          </w:tcPr>
          <w:p>
            <w:pPr>
              <w:pStyle w:val="TableContents"/>
              <w:spacing w:before="0" w:after="283"/>
              <w:jc w:val="right"/>
              <w:rPr/>
            </w:pPr>
            <w:r>
              <w:rPr/>
              <w:t>22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jc w:val="left"/>
              <w:rPr/>
            </w:pPr>
            <w:r>
              <w:rPr/>
              <w:t> </w:t>
            </w:r>
          </w:p>
        </w:tc>
        <w:tc>
          <w:tcPr>
            <w:tcW w:w="1115"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jc w:val="left"/>
              <w:rPr/>
            </w:pPr>
            <w:r>
              <w:rPr/>
              <w:t> </w:t>
            </w:r>
          </w:p>
        </w:tc>
        <w:tc>
          <w:tcPr>
            <w:tcW w:w="121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jc w:val="left"/>
              <w:rPr/>
            </w:pPr>
            <w:r>
              <w:rPr/>
              <w:t> </w:t>
            </w:r>
          </w:p>
        </w:tc>
        <w:tc>
          <w:tcPr>
            <w:tcW w:w="1184"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ind w:left="0" w:right="0" w:hanging="180"/>
              <w:jc w:val="left"/>
              <w:rPr/>
            </w:pPr>
            <w:r>
              <w:rPr/>
              <w:t> </w:t>
            </w:r>
          </w:p>
        </w:tc>
      </w:tr>
      <w:tr>
        <w:trPr/>
        <w:tc>
          <w:tcPr>
            <w:tcW w:w="905" w:type="dxa"/>
            <w:tcBorders/>
            <w:shd w:fill="CCEEFF" w:val="clear"/>
            <w:vAlign w:val="center"/>
          </w:tcPr>
          <w:p>
            <w:pPr>
              <w:pStyle w:val="TableContents"/>
              <w:spacing w:before="0" w:after="283"/>
              <w:jc w:val="left"/>
              <w:rPr/>
            </w:pPr>
            <w:r>
              <w:rPr/>
              <w:t>Issuance of shares upon partial exercise of over allotment option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2,672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1" w:type="dxa"/>
            <w:tcBorders/>
            <w:shd w:fill="CCEEFF" w:val="clear"/>
            <w:vAlign w:val="center"/>
          </w:tcPr>
          <w:p>
            <w:pPr>
              <w:pStyle w:val="TableContents"/>
              <w:spacing w:before="0" w:after="283"/>
              <w:jc w:val="left"/>
              <w:rPr/>
            </w:pPr>
            <w:r>
              <w:rPr/>
              <w:t> </w:t>
            </w:r>
          </w:p>
        </w:tc>
        <w:tc>
          <w:tcPr>
            <w:tcW w:w="55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62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93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jc w:val="left"/>
              <w:rPr/>
            </w:pPr>
            <w:r>
              <w:rPr/>
              <w:t> </w:t>
            </w:r>
          </w:p>
        </w:tc>
        <w:tc>
          <w:tcPr>
            <w:tcW w:w="121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jc w:val="left"/>
              <w:rPr/>
            </w:pPr>
            <w:r>
              <w:rPr/>
              <w:t> </w:t>
            </w:r>
          </w:p>
        </w:tc>
        <w:tc>
          <w:tcPr>
            <w:tcW w:w="1184"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905" w:type="dxa"/>
            <w:tcBorders/>
            <w:shd w:fill="auto" w:val="clear"/>
            <w:vAlign w:val="center"/>
          </w:tcPr>
          <w:p>
            <w:pPr>
              <w:pStyle w:val="TableContents"/>
              <w:spacing w:before="0" w:after="283"/>
              <w:jc w:val="left"/>
              <w:rPr/>
            </w:pPr>
            <w:r>
              <w:rPr/>
              <w:t>Net loss</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59"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3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629"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37"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15"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10" w:type="dxa"/>
            <w:tcBorders>
              <w:bottom w:val="single" w:sz="12" w:space="0" w:color="000000"/>
            </w:tcBorders>
            <w:shd w:fill="auto" w:val="clear"/>
            <w:tcMar>
              <w:bottom w:w="28" w:type="dxa"/>
            </w:tcMar>
            <w:vAlign w:val="center"/>
          </w:tcPr>
          <w:p>
            <w:pPr>
              <w:pStyle w:val="TableContents"/>
              <w:spacing w:before="0" w:after="283"/>
              <w:jc w:val="right"/>
              <w:rPr/>
            </w:pPr>
            <w:r>
              <w:rPr/>
              <w:t>(720,006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4" w:type="dxa"/>
            <w:tcBorders>
              <w:bottom w:val="single" w:sz="12" w:space="0" w:color="000000"/>
            </w:tcBorders>
            <w:shd w:fill="auto" w:val="clear"/>
            <w:tcMar>
              <w:bottom w:w="28" w:type="dxa"/>
            </w:tcMar>
            <w:vAlign w:val="center"/>
          </w:tcPr>
          <w:p>
            <w:pPr>
              <w:pStyle w:val="TableContents"/>
              <w:spacing w:before="0" w:after="283"/>
              <w:jc w:val="right"/>
              <w:rPr/>
            </w:pPr>
            <w:r>
              <w:rPr/>
              <w:t>(720,006</w:t>
            </w:r>
          </w:p>
        </w:tc>
        <w:tc>
          <w:tcPr>
            <w:tcW w:w="110" w:type="dxa"/>
            <w:tcBorders/>
            <w:shd w:fill="auto" w:val="clear"/>
            <w:vAlign w:val="center"/>
          </w:tcPr>
          <w:p>
            <w:pPr>
              <w:pStyle w:val="TableContents"/>
              <w:spacing w:before="0" w:after="283"/>
              <w:ind w:left="0" w:right="0" w:hanging="180"/>
              <w:jc w:val="left"/>
              <w:rPr/>
            </w:pPr>
            <w:r>
              <w:rPr/>
              <w:t>)</w:t>
            </w:r>
          </w:p>
        </w:tc>
      </w:tr>
      <w:tr>
        <w:trPr/>
        <w:tc>
          <w:tcPr>
            <w:tcW w:w="905" w:type="dxa"/>
            <w:tcBorders/>
            <w:shd w:fill="CCEEFF" w:val="clear"/>
            <w:vAlign w:val="center"/>
          </w:tcPr>
          <w:p>
            <w:pPr>
              <w:pStyle w:val="TableContents"/>
              <w:spacing w:before="0" w:after="283"/>
              <w:rPr>
                <w:b/>
              </w:rPr>
            </w:pPr>
            <w:r>
              <w:rPr>
                <w:b/>
              </w:rPr>
              <w:t>Balance, March 31, 2022</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320,272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559" w:type="dxa"/>
            <w:tcBorders>
              <w:bottom w:val="double" w:sz="10" w:space="0" w:color="000000"/>
            </w:tcBorders>
            <w:shd w:fill="CCEEFF" w:val="clear"/>
            <w:tcMar>
              <w:bottom w:w="28" w:type="dxa"/>
            </w:tcMar>
            <w:vAlign w:val="center"/>
          </w:tcPr>
          <w:p>
            <w:pPr>
              <w:pStyle w:val="TableContents"/>
              <w:spacing w:before="0" w:after="283"/>
              <w:jc w:val="right"/>
              <w:rPr>
                <w:b/>
              </w:rPr>
            </w:pPr>
            <w:r>
              <w:rPr>
                <w:b/>
              </w:rPr>
              <w:t>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b/>
              </w:rPr>
            </w:pPr>
            <w:r>
              <w:rPr>
                <w:b/>
              </w:rPr>
              <w:t>1,941,790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1"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spacing w:before="0" w:after="283"/>
              <w:jc w:val="right"/>
              <w:rPr>
                <w:b/>
              </w:rPr>
            </w:pPr>
            <w:r>
              <w:rPr>
                <w:b/>
              </w:rPr>
              <w:t>194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37" w:type="dxa"/>
            <w:tcBorders>
              <w:bottom w:val="double" w:sz="10" w:space="0" w:color="000000"/>
            </w:tcBorders>
            <w:shd w:fill="CCEEFF" w:val="clear"/>
            <w:tcMar>
              <w:bottom w:w="28" w:type="dxa"/>
            </w:tcMar>
            <w:vAlign w:val="center"/>
          </w:tcPr>
          <w:p>
            <w:pPr>
              <w:pStyle w:val="TableContents"/>
              <w:spacing w:before="0" w:after="283"/>
              <w:jc w:val="right"/>
              <w:rPr/>
            </w:pPr>
            <w:r>
              <w:rPr/>
              <w:t>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1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10" w:type="dxa"/>
            <w:tcBorders>
              <w:bottom w:val="double" w:sz="10" w:space="0" w:color="000000"/>
            </w:tcBorders>
            <w:shd w:fill="CCEEFF" w:val="clear"/>
            <w:tcMar>
              <w:bottom w:w="28" w:type="dxa"/>
            </w:tcMar>
            <w:vAlign w:val="center"/>
          </w:tcPr>
          <w:p>
            <w:pPr>
              <w:pStyle w:val="TableContents"/>
              <w:spacing w:before="0" w:after="283"/>
              <w:jc w:val="right"/>
              <w:rPr>
                <w:b/>
              </w:rPr>
            </w:pPr>
            <w:r>
              <w:rPr>
                <w:b/>
              </w:rPr>
              <w:t>(2,978,754</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56"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184" w:type="dxa"/>
            <w:tcBorders>
              <w:bottom w:val="double" w:sz="10" w:space="0" w:color="000000"/>
            </w:tcBorders>
            <w:shd w:fill="CCEEFF" w:val="clear"/>
            <w:tcMar>
              <w:bottom w:w="28" w:type="dxa"/>
            </w:tcMar>
            <w:vAlign w:val="center"/>
          </w:tcPr>
          <w:p>
            <w:pPr>
              <w:pStyle w:val="TableContents"/>
              <w:spacing w:before="0" w:after="283"/>
              <w:jc w:val="right"/>
              <w:rPr>
                <w:b/>
              </w:rPr>
            </w:pPr>
            <w:r>
              <w:rPr>
                <w:b/>
              </w:rPr>
              <w:t>(2,978,484</w:t>
            </w:r>
          </w:p>
        </w:tc>
        <w:tc>
          <w:tcPr>
            <w:tcW w:w="110" w:type="dxa"/>
            <w:tcBorders/>
            <w:shd w:fill="CCEEFF" w:val="clear"/>
            <w:vAlign w:val="center"/>
          </w:tcPr>
          <w:p>
            <w:pPr>
              <w:pStyle w:val="TableContents"/>
              <w:spacing w:before="0" w:after="283"/>
              <w:jc w:val="left"/>
              <w:rPr>
                <w:b/>
              </w:rPr>
            </w:pPr>
            <w:r>
              <w:rPr>
                <w:b/>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34"/>
        <w:gridCol w:w="60"/>
        <w:gridCol w:w="140"/>
        <w:gridCol w:w="1055"/>
        <w:gridCol w:w="95"/>
        <w:gridCol w:w="60"/>
        <w:gridCol w:w="304"/>
        <w:gridCol w:w="1746"/>
        <w:gridCol w:w="111"/>
      </w:tblGrid>
      <w:tr>
        <w:trPr/>
        <w:tc>
          <w:tcPr>
            <w:tcW w:w="66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w:t>
              <w:br/>
              <w:t>Months</w:t>
              <w:br/>
              <w:t>Ended</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For the </w:t>
              <w:br/>
              <w:t xml:space="preserve">period from </w:t>
              <w:br/>
              <w:t>March 17, 2021</w:t>
              <w:br/>
              <w:t xml:space="preserve">(Inception) through </w:t>
              <w:br/>
              <w:t xml:space="preserve">March 31, </w:t>
              <w:br/>
              <w:t>2021</w:t>
            </w:r>
          </w:p>
        </w:tc>
        <w:tc>
          <w:tcPr>
            <w:tcW w:w="111" w:type="dxa"/>
            <w:tcBorders/>
            <w:shd w:fill="auto" w:val="clear"/>
            <w:vAlign w:val="center"/>
          </w:tcPr>
          <w:p>
            <w:pPr>
              <w:pStyle w:val="TableContents"/>
              <w:spacing w:before="0" w:after="283"/>
              <w:rPr/>
            </w:pPr>
            <w:r>
              <w:rPr/>
              <w:t> </w:t>
            </w:r>
          </w:p>
        </w:tc>
      </w:tr>
      <w:tr>
        <w:trPr/>
        <w:tc>
          <w:tcPr>
            <w:tcW w:w="6634"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2"/>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rPr/>
            </w:pPr>
            <w:r>
              <w:rPr/>
              <w:t> </w:t>
            </w:r>
          </w:p>
        </w:tc>
      </w:tr>
      <w:tr>
        <w:trPr/>
        <w:tc>
          <w:tcPr>
            <w:tcW w:w="6634"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(720,006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w:t>
            </w:r>
          </w:p>
        </w:tc>
        <w:tc>
          <w:tcPr>
            <w:tcW w:w="1746" w:type="dxa"/>
            <w:tcBorders/>
            <w:shd w:fill="CCEEFF" w:val="clear"/>
            <w:vAlign w:val="center"/>
          </w:tcPr>
          <w:p>
            <w:pPr>
              <w:pStyle w:val="TableContents"/>
              <w:spacing w:before="0" w:after="283"/>
              <w:jc w:val="right"/>
              <w:rPr/>
            </w:pPr>
            <w:r>
              <w:rPr/>
              <w:t>(1,106</w:t>
            </w:r>
          </w:p>
        </w:tc>
        <w:tc>
          <w:tcPr>
            <w:tcW w:w="111" w:type="dxa"/>
            <w:tcBorders/>
            <w:shd w:fill="CCEEFF" w:val="clear"/>
            <w:vAlign w:val="center"/>
          </w:tcPr>
          <w:p>
            <w:pPr>
              <w:pStyle w:val="TableContents"/>
              <w:spacing w:before="0" w:after="283"/>
              <w:ind w:left="0" w:right="0" w:hanging="180"/>
              <w:jc w:val="left"/>
              <w:rPr/>
            </w:pPr>
            <w:r>
              <w:rPr/>
              <w:t>)</w:t>
            </w:r>
          </w:p>
        </w:tc>
      </w:tr>
      <w:tr>
        <w:trPr/>
        <w:tc>
          <w:tcPr>
            <w:tcW w:w="6634" w:type="dxa"/>
            <w:tcBorders/>
            <w:shd w:fill="auto" w:val="clear"/>
            <w:vAlign w:val="center"/>
          </w:tcPr>
          <w:p>
            <w:pPr>
              <w:pStyle w:val="TableContents"/>
              <w:spacing w:before="0" w:after="283"/>
              <w:jc w:val="left"/>
              <w:rPr/>
            </w:pPr>
            <w:r>
              <w:rPr/>
              <w:t>Adjustments to reconcile net loss to net cash used in operating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Interest income earned on Trust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(4,454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Changes in operating assets and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Accrued formation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1,106</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Prepaid expenses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74,670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Derivative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(76,588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Accrued expenses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628,213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b/>
              </w:rPr>
            </w:pPr>
            <w:r>
              <w:rPr>
                <w:b/>
              </w:rPr>
              <w:t>Net cash used in operating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(98,165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0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b/>
              </w:rPr>
            </w:pPr>
            <w:r>
              <w:rPr>
                <w:b/>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Cash deposited into Trust account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(2,698,306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b/>
              </w:rPr>
            </w:pPr>
            <w:r>
              <w:rPr>
                <w:b/>
              </w:rPr>
              <w:t>Net cash used in investing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(2,698,306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0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b/>
              </w:rPr>
            </w:pPr>
            <w:r>
              <w:rPr>
                <w:b/>
              </w:rPr>
              <w:t>Cash flows from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Sales of units in public offering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2,698,306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Proceeds from issuance of Class B common stock</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283"/>
              <w:jc w:val="right"/>
              <w:rPr/>
            </w:pPr>
            <w:r>
              <w:rPr/>
              <w:t>667</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b/>
              </w:rPr>
            </w:pPr>
            <w:r>
              <w:rPr>
                <w:b/>
              </w:rPr>
              <w:t>Net cash provided by financing activities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2,698,306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auto" w:val="clear"/>
            <w:tcMar>
              <w:bottom w:w="28" w:type="dxa"/>
            </w:tcMar>
            <w:vAlign w:val="center"/>
          </w:tcPr>
          <w:p>
            <w:pPr>
              <w:pStyle w:val="TableContents"/>
              <w:spacing w:before="0" w:after="283"/>
              <w:jc w:val="right"/>
              <w:rPr/>
            </w:pPr>
            <w:r>
              <w:rPr/>
              <w:t>667</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b/>
              </w:rPr>
            </w:pPr>
            <w:r>
              <w:rPr>
                <w:b/>
              </w:rPr>
              <w:t>Net change in 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b/>
              </w:rPr>
            </w:pPr>
            <w:r>
              <w:rPr>
                <w:b/>
              </w:rPr>
              <w:t>$</w:t>
            </w:r>
          </w:p>
        </w:tc>
        <w:tc>
          <w:tcPr>
            <w:tcW w:w="1055" w:type="dxa"/>
            <w:tcBorders/>
            <w:shd w:fill="auto" w:val="clear"/>
            <w:vAlign w:val="center"/>
          </w:tcPr>
          <w:p>
            <w:pPr>
              <w:pStyle w:val="TableContents"/>
              <w:spacing w:before="0" w:after="283"/>
              <w:jc w:val="right"/>
              <w:rPr>
                <w:b/>
              </w:rPr>
            </w:pPr>
            <w:r>
              <w:rPr>
                <w:b/>
              </w:rPr>
              <w:t>(98,165</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b/>
              </w:rPr>
            </w:pPr>
            <w:r>
              <w:rPr>
                <w:b/>
              </w:rPr>
              <w:t>$</w:t>
            </w:r>
          </w:p>
        </w:tc>
        <w:tc>
          <w:tcPr>
            <w:tcW w:w="1746" w:type="dxa"/>
            <w:tcBorders/>
            <w:shd w:fill="auto" w:val="clear"/>
            <w:vAlign w:val="center"/>
          </w:tcPr>
          <w:p>
            <w:pPr>
              <w:pStyle w:val="TableContents"/>
              <w:spacing w:before="0" w:after="283"/>
              <w:jc w:val="right"/>
              <w:rPr>
                <w:b/>
              </w:rPr>
            </w:pPr>
            <w:r>
              <w:rPr>
                <w:b/>
              </w:rPr>
              <w:t>667</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rPr/>
            </w:pPr>
            <w:r>
              <w:rPr/>
              <w:t>Cash at beginning of period</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928,389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46"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rPr>
                <w:b/>
              </w:rPr>
            </w:pPr>
            <w:r>
              <w:rPr>
                <w:b/>
              </w:rPr>
              <w:t>Cash at end of period</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b/>
              </w:rPr>
            </w:pPr>
            <w:r>
              <w:rPr>
                <w:b/>
              </w:rPr>
              <w:t>830,224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746" w:type="dxa"/>
            <w:tcBorders>
              <w:bottom w:val="double" w:sz="10" w:space="0" w:color="000000"/>
            </w:tcBorders>
            <w:shd w:fill="auto" w:val="clear"/>
            <w:tcMar>
              <w:bottom w:w="28" w:type="dxa"/>
            </w:tcMar>
            <w:vAlign w:val="center"/>
          </w:tcPr>
          <w:p>
            <w:pPr>
              <w:pStyle w:val="TableContents"/>
              <w:spacing w:before="0" w:after="283"/>
              <w:jc w:val="right"/>
              <w:rPr>
                <w:b/>
              </w:rPr>
            </w:pPr>
            <w:r>
              <w:rPr>
                <w:b/>
              </w:rPr>
              <w:t>667</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jc w:val="left"/>
              <w:rPr/>
            </w:pPr>
            <w:r>
              <w:rPr/>
              <w:t> </w:t>
            </w:r>
          </w:p>
        </w:tc>
        <w:tc>
          <w:tcPr>
            <w:tcW w:w="1746"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b/>
              </w:rPr>
            </w:pPr>
            <w:r>
              <w:rPr>
                <w:b/>
              </w:rPr>
              <w:t>Non-cash financing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jc w:val="left"/>
              <w:rPr/>
            </w:pPr>
            <w:r>
              <w:rPr/>
              <w:t> </w:t>
            </w:r>
          </w:p>
        </w:tc>
        <w:tc>
          <w:tcPr>
            <w:tcW w:w="1746" w:type="dxa"/>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Deferred offering costs included in accrued offering costs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746" w:type="dxa"/>
            <w:tcBorders>
              <w:bottom w:val="double" w:sz="10" w:space="0" w:color="000000"/>
            </w:tcBorders>
            <w:shd w:fill="CCEEFF" w:val="clear"/>
            <w:tcMar>
              <w:bottom w:w="28" w:type="dxa"/>
            </w:tcMar>
            <w:vAlign w:val="center"/>
          </w:tcPr>
          <w:p>
            <w:pPr>
              <w:pStyle w:val="TableContents"/>
              <w:spacing w:before="0" w:after="283"/>
              <w:jc w:val="right"/>
              <w:rPr/>
            </w:pPr>
            <w:r>
              <w:rPr/>
              <w:t>227,837</w:t>
            </w:r>
          </w:p>
        </w:tc>
        <w:tc>
          <w:tcPr>
            <w:tcW w:w="111" w:type="dxa"/>
            <w:tcBorders/>
            <w:shd w:fill="CCEEFF" w:val="clear"/>
            <w:vAlign w:val="center"/>
          </w:tcPr>
          <w:p>
            <w:pPr>
              <w:pStyle w:val="TableContents"/>
              <w:spacing w:before="0" w:after="283"/>
              <w:ind w:left="0" w:right="0" w:hanging="180"/>
              <w:jc w:val="left"/>
              <w:rPr/>
            </w:pPr>
            <w:r>
              <w:rPr/>
              <w:t> </w:t>
            </w:r>
          </w:p>
        </w:tc>
      </w:tr>
      <w:tr>
        <w:trPr/>
        <w:tc>
          <w:tcPr>
            <w:tcW w:w="6634" w:type="dxa"/>
            <w:tcBorders/>
            <w:shd w:fill="auto" w:val="clear"/>
            <w:vAlign w:val="center"/>
          </w:tcPr>
          <w:p>
            <w:pPr>
              <w:pStyle w:val="TableContents"/>
              <w:spacing w:before="0" w:after="283"/>
              <w:jc w:val="left"/>
              <w:rPr/>
            </w:pPr>
            <w:r>
              <w:rPr/>
              <w:t>Initial classification of potentially redeemable Class A common stock</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pPr>
            <w:r>
              <w:rPr/>
              <w:t>2,698,306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0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746"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283"/>
              <w:ind w:left="0" w:right="0" w:hanging="180"/>
              <w:jc w:val="left"/>
              <w:rPr/>
            </w:pPr>
            <w:r>
              <w:rPr/>
              <w:t> </w:t>
            </w:r>
          </w:p>
        </w:tc>
      </w:tr>
      <w:tr>
        <w:trPr/>
        <w:tc>
          <w:tcPr>
            <w:tcW w:w="6634" w:type="dxa"/>
            <w:tcBorders/>
            <w:shd w:fill="CCEEFF" w:val="clear"/>
            <w:vAlign w:val="center"/>
          </w:tcPr>
          <w:p>
            <w:pPr>
              <w:pStyle w:val="TableContents"/>
              <w:spacing w:before="0" w:after="283"/>
              <w:jc w:val="left"/>
              <w:rPr/>
            </w:pPr>
            <w:r>
              <w:rPr/>
              <w:t>Class B common stock issued for subscription receivables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746" w:type="dxa"/>
            <w:tcBorders>
              <w:bottom w:val="double" w:sz="10" w:space="0" w:color="000000"/>
            </w:tcBorders>
            <w:shd w:fill="CCEEFF" w:val="clear"/>
            <w:tcMar>
              <w:bottom w:w="28" w:type="dxa"/>
            </w:tcMar>
            <w:vAlign w:val="center"/>
          </w:tcPr>
          <w:p>
            <w:pPr>
              <w:pStyle w:val="TableContents"/>
              <w:spacing w:before="0" w:after="283"/>
              <w:jc w:val="right"/>
              <w:rPr/>
            </w:pPr>
            <w:r>
              <w:rPr/>
              <w:t>24,333</w:t>
            </w:r>
          </w:p>
        </w:tc>
        <w:tc>
          <w:tcPr>
            <w:tcW w:w="111"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LARKSPUR HEALTH ACQUISITION CORP.</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ORGANIZATION, BUSINESS OPERATIONS AND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Larkspur Health Acquisition Corp. (the “Company”) was incorporated in Delaware on March 17, 2021.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 Company had not commenced any operations. All activity for the period from March 17, 2021 (inception) through March 31, 2022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for the Company’s Initial Public Offering (the “Registration Statement”) was declared effective on December 20, 2021. On December 23, 2021, the Company consummated the Initial Public Offering of 7,500,000 units (“Units” and, with respect to the common stock included in the Units being offered, the “Public Shares”), generating gross proceeds of $75,000,000, which is described in Note 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Company consummated the sale of 317,600 units (the “Private Placement Units”) at a price of $10.00 per Private Unit in private placements to Larkspur Health LLC (the “Sponsor”).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23, 2021, transaction costs amounted to $6,639,594 consisting of $500,000 of underwriting fees, $3,375,000 of business combination fee payable (which are held in a trust account with Continental Stock Transfer and Trust Company acting as trustee (the “Trust Account”)), $2,179,470 of the excess of fair value over the purchase price of certain founder shares transferred to additional sponsor investors and $593,778 of Initial Public Offering costs. These costs were charged to additional paid-in capital or accumulated deficit to the extent additional paid-in capital is fully depleted upon completion of the Public Offering. As described in Note 6, the $3,375,000 business combination fee is contingent upon the consummation of a Business Combination within 12 months, unless the time period to consummate a Business Combination is extended pursuant to the Company’s amended and restated certificate of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Initial Public Offering on December 23, 2021, an amount of $75,750,000 ($10.10 per Unit) from the net proceeds of the sale of the Units in the Initial Public Offering and the Private Placement (as defined in Note 4) was placed in the Trust Account. The funds held in the Trust Account may be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Initial Public Offering, management has agreed that an amount equal to at least $10.10 per Unit sold in the Initial Public Offering, including proceeds of the Private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DESCRIPTION OF ORGANIZATION, BUSINESS OPERATIONS AND GOING CONCERN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the holders of the outstanding Public Shares (the “Public Stockholders”) with the opportunity to redeem all or a portion of their Public Shares either (i) in connection with a stockholder meeting called to approve the Business Combination or (ii) by means of a tender offer in connection with the Business Combination.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$10.10 per Public Share, plus any pro rata interest then in the Trust Account, net of taxes payable). There will be no redemption rights upon the completion of a Business Combination with respect to the Company’s warrants.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Public Shares contain a redemption feature which allows for the redemption of such Public Shares in connection with the Company’s liquidation, if there is a stockholder vote or tender offer in connection with the Company’s Business Combination and in connection with certain amendments to the Company’s amended and restated certificate of incorporation (the “Certificate of Incorporation”). In accordance with the rules of the U.S. Securities and Exchange Commission (the “SEC”) and its guidance on redeemable equity instruments, which has been codified in ASC 480-10-S99, redemption provisions not solely within the control of a company require common stock subject to redemption to be classified outside of permanent equity. Given that the Public Shares will be issued with other freestanding instruments (i.e., public warrants), the initial carrying value of Class A common stock classified as temporary equity will be the allocated proceeds determined in accordance with ASC 470-20. The Class A common stock is subject to ASC 480-10-S99. If it is probable that the equity instrument will become redeemable, the Company has the option to either (i) accrete changes in the redemption value over the period from the date of issuance (or from the date that it becomes probable that the instrument will become redeemable, if later) to the earliest redemption date of the instrument or (ii) recognize changes in the redemption value immediately as they occur and adjust the carrying amount of the instrument to equal the redemption value at the end of each reporting period. The Company has elected to recognize the changes immediately. The accretion or remeasurement will be treated as a deemed dividend (i.e., a reduction to retained earnings, or in absence of retained earnings, additional paid-in capital). While redemptions cannot cause the Company’s net tangible assets to fall below $5,000,001, the Public Shares are redeemable and will be classified as such on the balance sheet until such date that a redemption event takes place.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Public Shares in an amount that would cause its net tangible assets to be less than $5,000,001 (so that it does not then become subject to the SEC’s “penny stock” rules) or any greater net tangible asset or cash requirement which may be contained in the agreement relating to the Business Combination. If the Company seeks stockholder approval of the Business Combination, the Company will proceed with a Business Combination if a majority of the outstanding shares voted are voted in favor of the Business Combination, or such other vote as required by law or stock exchange rule. If a stockholder vote is not required by applicable law or stock exchange listing requirements and the Company does not decide to hold a stockholder vote for business or other reasons, the Company will, pursuant to its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DESCRIPTION OF ORGANIZATION, BUSINESS OPERATIONS AND GOING CONCERN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have agreed (a) to waive their redemption rights with respect to the Founder Shares and Public Shares held by them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not completed a Business Combination within 12 months from the closing of the Initial Public Offering (or up to 18 months from the closing of the Initial Public Offering at the election of the Company in two separate three month extensions subject to satisfaction of certain conditions)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Founders Shares have agreed to waive their liquidation rights with respect to the Founder Shares if the Company fails to complete a Business Combination within the Combination Period. However, if the holders of Founder Shares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$10.10 per Public Share or (ii) such lesser amount per Public Share held in the Trust Account as of the date of the liquidation of the Trust Account, if less than $10.10 per public Share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DESCRIPTION OF ORGANIZATION, BUSINESS OPERATIONS AND GOING CONCERN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Consideration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assessment of going concern considerations in accordance with Account Standards Update (“ASU”) 2014- 15, “Disclosures of Uncertainties about an Entity’s Ability to Continue as a Going Concern,” management has determined that the combination period is less than one year from the date of the issuance of the financial statements. There is no assurance that the Company’s plans to consummate a business combination will be successful within the combination period. As a result, there is substantial doubt about the entity’s ability to continue as a going concern within one year after the date that the financial statements are issued or are available to be issued. The financial statements do not include any adjustments that might result from the outcome of the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currently evaluating the impact of the COVID-19 pandemic and has concluded that while it is reasonably possible that the virus could have a negative effect on the Company’s financial position, results of its operations, close of the Initial Public Offering and/or search for a target company, the specific impact is not readily determinable as of the date of these financial statements. The financial statements do not include any adjustments that might result from the outcome of this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financial statements should be read in conjunction with the Company’s Annual Report filed on Form 10-K.</w:t>
      </w:r>
    </w:p>
    <w:p>
      <w:pPr>
        <w:pStyle w:val="TextBody"/>
        <w:spacing w:before="0" w:after="0"/>
        <w:ind w:left="0" w:right="0" w:firstLine="48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Company’s management, the unaudited financial statements as of March 31, 2022 and for the three months ended March 31, 2022 include all adjustments, which are only of a normal and recurring nature, necessary for a fair statement of the financial position of the Company as of March 31, 2022 and its results of operations and cash flows for the three months ended March 31, 2022. The results of operations for the three months ended March 31, 2022 are not necessarily indicative of the results to be expected for the full fiscal year ending December 31, 2022 or any future interim period.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as amended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SUMMARY OF SIGNIFICANT ACCOUNTING POLICIES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of three months or less when purchased to be cash equivalents. The Company did not have any cash equivalents as of March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held in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2022, the Company had $78,452,760 in Investments held in the Trust Account. The Company classifies these investments as trading securities which are recorded at fair value with realized and unrealized gains and losses recorded in the statement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Offering Costs Associated with a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FASB ASC 340-10-S99-1 and SEC Staff Accounting Bulletin (“SAB”) Topic 5A —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xml:space="preserve"> Offering costs of $593,778 consist principally of costs incurred in connection with formation and preparation for the Public Offering. These costs, together with the underwriter discount of $500,000 and deferred business combination fee payable of $3,375,000, were charged to additional paid-in capital upon completion of the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SUMMARY OF SIGNIFICANT ACCOUNTING POLICIES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March 31, 2022 and December 31,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calculation of basic and diluted net loss per common share (in dollars, except per share amounts):</w:t>
      </w:r>
    </w:p>
    <w:p>
      <w:pPr>
        <w:pStyle w:val="TextBody"/>
        <w:spacing w:before="0" w:after="0"/>
        <w:ind w:left="0" w:right="0" w:hanging="0"/>
        <w:jc w:val="both"/>
        <w:rPr>
          <w:caps w:val="false"/>
          <w:smallCaps w:val="false"/>
        </w:rPr>
      </w:pPr>
      <w:r>
        <w:rPr>
          <w:caps w:val="false"/>
          <w:smallCaps w:val="false"/>
        </w:rPr>
        <w:t> </w:t>
      </w:r>
    </w:p>
    <w:tbl>
      <w:tblPr>
        <w:tblW w:w="8708" w:type="dxa"/>
        <w:jc w:val="left"/>
        <w:tblInd w:w="0" w:type="dxa"/>
        <w:tblCellMar>
          <w:top w:w="0" w:type="dxa"/>
          <w:left w:w="0" w:type="dxa"/>
          <w:bottom w:w="0" w:type="dxa"/>
          <w:right w:w="0" w:type="dxa"/>
        </w:tblCellMar>
      </w:tblPr>
      <w:tblGrid>
        <w:gridCol w:w="5195"/>
        <w:gridCol w:w="60"/>
        <w:gridCol w:w="199"/>
        <w:gridCol w:w="1395"/>
        <w:gridCol w:w="95"/>
        <w:gridCol w:w="60"/>
        <w:gridCol w:w="199"/>
        <w:gridCol w:w="1395"/>
        <w:gridCol w:w="110"/>
      </w:tblGrid>
      <w:tr>
        <w:trPr/>
        <w:tc>
          <w:tcPr>
            <w:tcW w:w="51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43"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 Months Ended</w:t>
              <w:br/>
              <w:t>March 31, 2022</w:t>
            </w:r>
          </w:p>
        </w:tc>
        <w:tc>
          <w:tcPr>
            <w:tcW w:w="110" w:type="dxa"/>
            <w:tcBorders/>
            <w:shd w:fill="auto"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center"/>
              <w:rPr>
                <w:b/>
              </w:rPr>
            </w:pPr>
            <w:r>
              <w:rPr>
                <w:b/>
              </w:rPr>
              <w:t>Class A</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center"/>
              <w:rPr>
                <w:b/>
              </w:rPr>
            </w:pPr>
            <w:r>
              <w:rPr>
                <w:b/>
              </w:rPr>
              <w:t>Class B</w:t>
            </w:r>
          </w:p>
        </w:tc>
        <w:tc>
          <w:tcPr>
            <w:tcW w:w="110" w:type="dxa"/>
            <w:tcBorders/>
            <w:shd w:fill="auto"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110" w:type="dxa"/>
            <w:tcBorders/>
            <w:shd w:fill="auto"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283"/>
              <w:rPr>
                <w:i/>
              </w:rPr>
            </w:pPr>
            <w:r>
              <w:rPr>
                <w:i/>
              </w:rPr>
              <w:t>Basic and diluted net loss per common share</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5195" w:type="dxa"/>
            <w:tcBorders/>
            <w:shd w:fill="auto" w:val="clear"/>
            <w:vAlign w:val="center"/>
          </w:tcPr>
          <w:p>
            <w:pPr>
              <w:pStyle w:val="TableContents"/>
              <w:spacing w:before="0" w:after="283"/>
              <w:rPr/>
            </w:pPr>
            <w:r>
              <w:rPr/>
              <w:t>Numerator:</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5195" w:type="dxa"/>
            <w:tcBorders/>
            <w:shd w:fill="CCEEFF" w:val="clear"/>
            <w:vAlign w:val="center"/>
          </w:tcPr>
          <w:p>
            <w:pPr>
              <w:pStyle w:val="TableContents"/>
              <w:spacing w:before="0" w:after="283"/>
              <w:jc w:val="left"/>
              <w:rPr/>
            </w:pPr>
            <w:r>
              <w:rPr/>
              <w:t>Allocation of net loss</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w:t>
            </w:r>
          </w:p>
        </w:tc>
        <w:tc>
          <w:tcPr>
            <w:tcW w:w="1395" w:type="dxa"/>
            <w:tcBorders/>
            <w:shd w:fill="CCEEFF" w:val="clear"/>
            <w:vAlign w:val="center"/>
          </w:tcPr>
          <w:p>
            <w:pPr>
              <w:pStyle w:val="TableContents"/>
              <w:spacing w:before="0" w:after="283"/>
              <w:jc w:val="right"/>
              <w:rPr/>
            </w:pPr>
            <w:r>
              <w:rPr/>
              <w:t>(580,610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jc w:val="left"/>
              <w:rPr/>
            </w:pPr>
            <w:r>
              <w:rPr/>
              <w:t>$</w:t>
            </w:r>
          </w:p>
        </w:tc>
        <w:tc>
          <w:tcPr>
            <w:tcW w:w="1395" w:type="dxa"/>
            <w:tcBorders/>
            <w:shd w:fill="CCEEFF" w:val="clear"/>
            <w:vAlign w:val="center"/>
          </w:tcPr>
          <w:p>
            <w:pPr>
              <w:pStyle w:val="TableContents"/>
              <w:spacing w:before="0" w:after="283"/>
              <w:jc w:val="right"/>
              <w:rPr/>
            </w:pPr>
            <w:r>
              <w:rPr/>
              <w:t>(139,396</w:t>
            </w:r>
          </w:p>
        </w:tc>
        <w:tc>
          <w:tcPr>
            <w:tcW w:w="110" w:type="dxa"/>
            <w:tcBorders/>
            <w:shd w:fill="CCEEFF" w:val="clear"/>
            <w:vAlign w:val="center"/>
          </w:tcPr>
          <w:p>
            <w:pPr>
              <w:pStyle w:val="TableContents"/>
              <w:spacing w:before="0" w:after="283"/>
              <w:ind w:left="0" w:right="0" w:hanging="180"/>
              <w:jc w:val="left"/>
              <w:rPr/>
            </w:pPr>
            <w:r>
              <w:rPr/>
              <w:t>)</w:t>
            </w:r>
          </w:p>
        </w:tc>
      </w:tr>
      <w:tr>
        <w:trPr/>
        <w:tc>
          <w:tcPr>
            <w:tcW w:w="5195" w:type="dxa"/>
            <w:tcBorders/>
            <w:shd w:fill="auto" w:val="clear"/>
            <w:vAlign w:val="center"/>
          </w:tcPr>
          <w:p>
            <w:pPr>
              <w:pStyle w:val="TableContents"/>
              <w:spacing w:before="0" w:after="283"/>
              <w:rPr/>
            </w:pPr>
            <w:r>
              <w:rPr/>
              <w:t>Denominator:</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jc w:val="left"/>
              <w:rPr/>
            </w:pPr>
            <w:r>
              <w:rPr/>
              <w:t> </w:t>
            </w:r>
          </w:p>
        </w:tc>
        <w:tc>
          <w:tcPr>
            <w:tcW w:w="139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jc w:val="left"/>
              <w:rPr/>
            </w:pPr>
            <w:r>
              <w:rPr/>
              <w:t> </w:t>
            </w:r>
          </w:p>
        </w:tc>
        <w:tc>
          <w:tcPr>
            <w:tcW w:w="1395"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ind w:left="0" w:right="0" w:hanging="180"/>
              <w:jc w:val="left"/>
              <w:rPr/>
            </w:pPr>
            <w:r>
              <w:rPr/>
              <w:t> </w:t>
            </w:r>
          </w:p>
        </w:tc>
      </w:tr>
      <w:tr>
        <w:trPr/>
        <w:tc>
          <w:tcPr>
            <w:tcW w:w="5195" w:type="dxa"/>
            <w:tcBorders/>
            <w:shd w:fill="CCEEFF" w:val="clear"/>
            <w:vAlign w:val="center"/>
          </w:tcPr>
          <w:p>
            <w:pPr>
              <w:pStyle w:val="TableContents"/>
              <w:spacing w:before="0" w:after="283"/>
              <w:rPr/>
            </w:pPr>
            <w:r>
              <w:rPr/>
              <w:t>Basic and diluted weighted average shares outstanding</w:t>
            </w:r>
          </w:p>
        </w:tc>
        <w:tc>
          <w:tcPr>
            <w:tcW w:w="60"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spacing w:before="0" w:after="283"/>
              <w:jc w:val="right"/>
              <w:rPr/>
            </w:pPr>
            <w:r>
              <w:rPr/>
              <w:t>8,072,272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spacing w:before="0" w:after="283"/>
              <w:jc w:val="right"/>
              <w:rPr/>
            </w:pPr>
            <w:r>
              <w:rPr/>
              <w:t>1,938,038</w:t>
            </w:r>
          </w:p>
        </w:tc>
        <w:tc>
          <w:tcPr>
            <w:tcW w:w="110" w:type="dxa"/>
            <w:tcBorders/>
            <w:shd w:fill="CCEEFF" w:val="clear"/>
            <w:vAlign w:val="center"/>
          </w:tcPr>
          <w:p>
            <w:pPr>
              <w:pStyle w:val="TableContents"/>
              <w:spacing w:before="0" w:after="283"/>
              <w:ind w:left="0" w:right="0" w:hanging="180"/>
              <w:jc w:val="left"/>
              <w:rPr/>
            </w:pPr>
            <w:r>
              <w:rPr/>
              <w:t> </w:t>
            </w:r>
          </w:p>
        </w:tc>
      </w:tr>
      <w:tr>
        <w:trPr/>
        <w:tc>
          <w:tcPr>
            <w:tcW w:w="5195" w:type="dxa"/>
            <w:tcBorders/>
            <w:shd w:fill="auto" w:val="clear"/>
            <w:vAlign w:val="center"/>
          </w:tcPr>
          <w:p>
            <w:pPr>
              <w:pStyle w:val="TableContents"/>
              <w:spacing w:before="0" w:after="283"/>
              <w:jc w:val="left"/>
              <w:rPr/>
            </w:pPr>
            <w:r>
              <w:rPr/>
              <w:t>Basic and diluted net loss per common share</w:t>
            </w:r>
          </w:p>
        </w:tc>
        <w:tc>
          <w:tcPr>
            <w:tcW w:w="60" w:type="dxa"/>
            <w:tcBorders/>
            <w:shd w:fill="auto" w:val="clear"/>
            <w:vAlign w:val="center"/>
          </w:tcPr>
          <w:p>
            <w:pPr>
              <w:pStyle w:val="TableContents"/>
              <w:spacing w:before="0" w:after="283"/>
              <w:rPr/>
            </w:pPr>
            <w:r>
              <w:rPr/>
              <w:t> </w:t>
            </w:r>
          </w:p>
        </w:tc>
        <w:tc>
          <w:tcPr>
            <w:tcW w:w="19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95" w:type="dxa"/>
            <w:tcBorders>
              <w:bottom w:val="double" w:sz="10" w:space="0" w:color="000000"/>
            </w:tcBorders>
            <w:shd w:fill="auto" w:val="clear"/>
            <w:tcMar>
              <w:bottom w:w="28" w:type="dxa"/>
            </w:tcMar>
            <w:vAlign w:val="center"/>
          </w:tcPr>
          <w:p>
            <w:pPr>
              <w:pStyle w:val="TableContents"/>
              <w:spacing w:before="0" w:after="283"/>
              <w:jc w:val="right"/>
              <w:rPr/>
            </w:pPr>
            <w:r>
              <w:rPr/>
              <w:t>(0.07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395" w:type="dxa"/>
            <w:tcBorders>
              <w:bottom w:val="double" w:sz="10" w:space="0" w:color="000000"/>
            </w:tcBorders>
            <w:shd w:fill="auto" w:val="clear"/>
            <w:tcMar>
              <w:bottom w:w="28" w:type="dxa"/>
            </w:tcMar>
            <w:vAlign w:val="center"/>
          </w:tcPr>
          <w:p>
            <w:pPr>
              <w:pStyle w:val="TableContents"/>
              <w:spacing w:before="0" w:after="283"/>
              <w:jc w:val="right"/>
              <w:rPr/>
            </w:pPr>
            <w:r>
              <w:rPr/>
              <w:t>(0.07</w:t>
            </w:r>
          </w:p>
        </w:tc>
        <w:tc>
          <w:tcPr>
            <w:tcW w:w="110" w:type="dxa"/>
            <w:tcBorders/>
            <w:shd w:fill="auto"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for sale of an asset or paid to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defined as observable inputs such as quoted prices (unadjusted) for identical instruments in active markets;</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spacing w:before="0" w:after="0"/>
        <w:ind w:left="72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SUMMARY OF SIGNIFICANT ACCOUNTING POLICIES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that are measured at fair value at March 31, 2022 and December 31, 2021, and indicates the fair value hierarchy of the valuation inputs the Company utilized to determine such fair value:</w:t>
      </w:r>
    </w:p>
    <w:p>
      <w:pPr>
        <w:pStyle w:val="TextBody"/>
        <w:spacing w:before="0" w:after="0"/>
        <w:ind w:left="0" w:right="0" w:firstLine="360"/>
        <w:jc w:val="both"/>
        <w:rPr>
          <w:caps w:val="false"/>
          <w:smallCaps w:val="false"/>
        </w:rPr>
      </w:pPr>
      <w:r>
        <w:rPr>
          <w:caps w:val="false"/>
          <w:smallCaps w:val="false"/>
        </w:rPr>
        <w:t> </w:t>
      </w:r>
    </w:p>
    <w:tbl>
      <w:tblPr>
        <w:tblW w:w="6835" w:type="dxa"/>
        <w:jc w:val="left"/>
        <w:tblInd w:w="0" w:type="dxa"/>
        <w:tblCellMar>
          <w:top w:w="0" w:type="dxa"/>
          <w:left w:w="0" w:type="dxa"/>
          <w:bottom w:w="28" w:type="dxa"/>
          <w:right w:w="0" w:type="dxa"/>
        </w:tblCellMar>
      </w:tblPr>
      <w:tblGrid>
        <w:gridCol w:w="3290"/>
        <w:gridCol w:w="60"/>
        <w:gridCol w:w="575"/>
        <w:gridCol w:w="60"/>
        <w:gridCol w:w="140"/>
        <w:gridCol w:w="1100"/>
        <w:gridCol w:w="60"/>
        <w:gridCol w:w="60"/>
        <w:gridCol w:w="159"/>
        <w:gridCol w:w="1256"/>
        <w:gridCol w:w="75"/>
      </w:tblGrid>
      <w:tr>
        <w:trPr/>
        <w:tc>
          <w:tcPr>
            <w:tcW w:w="3290" w:type="dxa"/>
            <w:tcBorders>
              <w:bottom w:val="single" w:sz="12" w:space="0" w:color="000000"/>
            </w:tcBorders>
            <w:shd w:fill="auto" w:val="clear"/>
            <w:vAlign w:val="center"/>
          </w:tcPr>
          <w:p>
            <w:pPr>
              <w:pStyle w:val="TableContents"/>
              <w:spacing w:before="0" w:after="283"/>
              <w:rPr>
                <w:b/>
              </w:rPr>
            </w:pPr>
            <w:r>
              <w:rPr>
                <w:b/>
              </w:rPr>
              <w:t>Description</w:t>
            </w:r>
          </w:p>
        </w:tc>
        <w:tc>
          <w:tcPr>
            <w:tcW w:w="60" w:type="dxa"/>
            <w:tcBorders/>
            <w:shd w:fill="auto" w:val="clear"/>
            <w:tcMar>
              <w:bottom w:w="0" w:type="dxa"/>
            </w:tcMar>
            <w:vAlign w:val="center"/>
          </w:tcPr>
          <w:p>
            <w:pPr>
              <w:pStyle w:val="TableContents"/>
              <w:spacing w:before="0" w:after="283"/>
              <w:rPr/>
            </w:pPr>
            <w:r>
              <w:rPr/>
              <w:t> </w:t>
            </w:r>
          </w:p>
        </w:tc>
        <w:tc>
          <w:tcPr>
            <w:tcW w:w="575" w:type="dxa"/>
            <w:tcBorders>
              <w:bottom w:val="single" w:sz="12" w:space="0" w:color="000000"/>
            </w:tcBorders>
            <w:shd w:fill="auto" w:val="clear"/>
            <w:vAlign w:val="center"/>
          </w:tcPr>
          <w:p>
            <w:pPr>
              <w:pStyle w:val="TableContents"/>
              <w:spacing w:before="0" w:after="283"/>
              <w:jc w:val="center"/>
              <w:rPr>
                <w:b/>
              </w:rPr>
            </w:pPr>
            <w:r>
              <w:rPr>
                <w:b/>
              </w:rPr>
              <w:t>Level</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March 31,</w:t>
              <w:br/>
              <w:t>2022</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283"/>
              <w:jc w:val="center"/>
              <w:rPr>
                <w:b/>
              </w:rPr>
            </w:pPr>
            <w:r>
              <w:rPr>
                <w:b/>
              </w:rPr>
              <w:t>December 31,</w:t>
              <w:br/>
              <w:t>2021</w:t>
            </w:r>
          </w:p>
        </w:tc>
        <w:tc>
          <w:tcPr>
            <w:tcW w:w="75" w:type="dxa"/>
            <w:tcBorders/>
            <w:shd w:fill="auto" w:val="clear"/>
            <w:tcMar>
              <w:bottom w:w="0" w:type="dxa"/>
            </w:tcMar>
            <w:vAlign w:val="center"/>
          </w:tcPr>
          <w:p>
            <w:pPr>
              <w:pStyle w:val="TableContents"/>
              <w:spacing w:before="0" w:after="283"/>
              <w:rPr/>
            </w:pPr>
            <w:r>
              <w:rPr/>
              <w:t> </w:t>
            </w:r>
          </w:p>
        </w:tc>
      </w:tr>
      <w:tr>
        <w:trPr/>
        <w:tc>
          <w:tcPr>
            <w:tcW w:w="3290" w:type="dxa"/>
            <w:tcBorders/>
            <w:shd w:fill="auto" w:val="clear"/>
            <w:tcMar>
              <w:bottom w:w="0" w:type="dxa"/>
            </w:tcMar>
            <w:vAlign w:val="center"/>
          </w:tcPr>
          <w:p>
            <w:pPr>
              <w:pStyle w:val="TableContents"/>
              <w:spacing w:before="0" w:after="283"/>
              <w:rPr/>
            </w:pPr>
            <w:r>
              <w:rPr/>
              <w:t>Assets:</w:t>
            </w:r>
          </w:p>
        </w:tc>
        <w:tc>
          <w:tcPr>
            <w:tcW w:w="60" w:type="dxa"/>
            <w:tcBorders/>
            <w:shd w:fill="auto" w:val="clear"/>
            <w:tcMar>
              <w:bottom w:w="0" w:type="dxa"/>
            </w:tcMar>
            <w:vAlign w:val="center"/>
          </w:tcPr>
          <w:p>
            <w:pPr>
              <w:pStyle w:val="TableContents"/>
              <w:spacing w:before="0" w:after="283"/>
              <w:rPr/>
            </w:pPr>
            <w:r>
              <w:rPr/>
              <w:t> </w:t>
            </w:r>
          </w:p>
        </w:tc>
        <w:tc>
          <w:tcPr>
            <w:tcW w:w="57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shd w:fill="auto" w:val="clear"/>
            <w:tcMar>
              <w:bottom w:w="0" w:type="dxa"/>
            </w:tcMar>
            <w:vAlign w:val="center"/>
          </w:tcPr>
          <w:p>
            <w:pPr>
              <w:pStyle w:val="TableContents"/>
              <w:spacing w:before="0" w:after="283"/>
              <w:jc w:val="left"/>
              <w:rPr/>
            </w:pPr>
            <w:r>
              <w:rPr/>
              <w:t> </w:t>
            </w:r>
          </w:p>
        </w:tc>
        <w:tc>
          <w:tcPr>
            <w:tcW w:w="1100" w:type="dxa"/>
            <w:tcBorders/>
            <w:shd w:fill="auto" w:val="clear"/>
            <w:tcMar>
              <w:bottom w:w="0" w:type="dxa"/>
            </w:tcMar>
            <w:vAlign w:val="center"/>
          </w:tcPr>
          <w:p>
            <w:pPr>
              <w:pStyle w:val="TableContents"/>
              <w:spacing w:before="0" w:after="283"/>
              <w:jc w:val="righ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59" w:type="dxa"/>
            <w:tcBorders/>
            <w:shd w:fill="auto" w:val="clear"/>
            <w:tcMar>
              <w:bottom w:w="0" w:type="dxa"/>
            </w:tcMar>
            <w:vAlign w:val="center"/>
          </w:tcPr>
          <w:p>
            <w:pPr>
              <w:pStyle w:val="TableContents"/>
              <w:spacing w:before="0" w:after="283"/>
              <w:jc w:val="left"/>
              <w:rPr/>
            </w:pPr>
            <w:r>
              <w:rPr/>
              <w:t> </w:t>
            </w:r>
          </w:p>
        </w:tc>
        <w:tc>
          <w:tcPr>
            <w:tcW w:w="1256" w:type="dxa"/>
            <w:tcBorders/>
            <w:shd w:fill="auto" w:val="clear"/>
            <w:tcMar>
              <w:bottom w:w="0" w:type="dxa"/>
            </w:tcMar>
            <w:vAlign w:val="center"/>
          </w:tcPr>
          <w:p>
            <w:pPr>
              <w:pStyle w:val="TableContents"/>
              <w:spacing w:before="0" w:after="283"/>
              <w:jc w:val="right"/>
              <w:rPr/>
            </w:pPr>
            <w:r>
              <w:rPr/>
              <w:t> </w:t>
            </w:r>
          </w:p>
        </w:tc>
        <w:tc>
          <w:tcPr>
            <w:tcW w:w="75" w:type="dxa"/>
            <w:tcBorders/>
            <w:shd w:fill="auto" w:val="clear"/>
            <w:tcMar>
              <w:bottom w:w="0" w:type="dxa"/>
            </w:tcMar>
            <w:vAlign w:val="center"/>
          </w:tcPr>
          <w:p>
            <w:pPr>
              <w:pStyle w:val="TableContents"/>
              <w:spacing w:before="0" w:after="283"/>
              <w:jc w:val="left"/>
              <w:rPr/>
            </w:pPr>
            <w:r>
              <w:rPr/>
              <w:t> </w:t>
            </w:r>
          </w:p>
        </w:tc>
      </w:tr>
      <w:tr>
        <w:trPr/>
        <w:tc>
          <w:tcPr>
            <w:tcW w:w="3290" w:type="dxa"/>
            <w:tcBorders/>
            <w:shd w:fill="CCEEFF" w:val="clear"/>
            <w:tcMar>
              <w:bottom w:w="0" w:type="dxa"/>
            </w:tcMar>
            <w:vAlign w:val="center"/>
          </w:tcPr>
          <w:p>
            <w:pPr>
              <w:pStyle w:val="TableContents"/>
              <w:spacing w:before="0" w:after="283"/>
              <w:jc w:val="left"/>
              <w:rPr/>
            </w:pPr>
            <w:r>
              <w:rPr/>
              <w:t>Investments held in Trust Account</w:t>
            </w:r>
          </w:p>
        </w:tc>
        <w:tc>
          <w:tcPr>
            <w:tcW w:w="60" w:type="dxa"/>
            <w:tcBorders/>
            <w:shd w:fill="CCEEFF" w:val="clear"/>
            <w:tcMar>
              <w:bottom w:w="0" w:type="dxa"/>
            </w:tcMar>
            <w:vAlign w:val="center"/>
          </w:tcPr>
          <w:p>
            <w:pPr>
              <w:pStyle w:val="TableContents"/>
              <w:spacing w:before="0" w:after="283"/>
              <w:rPr/>
            </w:pPr>
            <w:r>
              <w:rPr/>
              <w:t> </w:t>
            </w:r>
          </w:p>
        </w:tc>
        <w:tc>
          <w:tcPr>
            <w:tcW w:w="575" w:type="dxa"/>
            <w:tcBorders/>
            <w:shd w:fill="CCEEFF" w:val="clear"/>
            <w:tcMar>
              <w:bottom w:w="0" w:type="dxa"/>
            </w:tcMar>
            <w:vAlign w:val="center"/>
          </w:tcPr>
          <w:p>
            <w:pPr>
              <w:pStyle w:val="TableContents"/>
              <w:spacing w:before="0" w:after="283"/>
              <w:jc w:val="center"/>
              <w:rPr/>
            </w:pPr>
            <w:r>
              <w:rPr/>
              <w:t>1</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78,452,760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9" w:type="dxa"/>
            <w:tcBorders/>
            <w:shd w:fill="CCEEFF" w:val="clear"/>
            <w:tcMar>
              <w:bottom w:w="0" w:type="dxa"/>
            </w:tcMar>
            <w:vAlign w:val="center"/>
          </w:tcPr>
          <w:p>
            <w:pPr>
              <w:pStyle w:val="TableContents"/>
              <w:spacing w:before="0" w:after="283"/>
              <w:jc w:val="left"/>
              <w:rPr/>
            </w:pPr>
            <w:r>
              <w:rPr/>
              <w:t>$</w:t>
            </w:r>
          </w:p>
        </w:tc>
        <w:tc>
          <w:tcPr>
            <w:tcW w:w="1256" w:type="dxa"/>
            <w:tcBorders/>
            <w:shd w:fill="CCEEFF" w:val="clear"/>
            <w:tcMar>
              <w:bottom w:w="0" w:type="dxa"/>
            </w:tcMar>
            <w:vAlign w:val="center"/>
          </w:tcPr>
          <w:p>
            <w:pPr>
              <w:pStyle w:val="TableContents"/>
              <w:spacing w:before="0" w:after="283"/>
              <w:jc w:val="right"/>
              <w:rPr/>
            </w:pPr>
            <w:r>
              <w:rPr/>
              <w:t>75,750,000</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 subject to possible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Class A common stock subject to possible redemption in accordance with the guidance enumerated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March 31, 2022 and December 31, 2021, the shares of Class A common stock subject to possible redemption in the amount of $78,448,306 and $75,750,000, respectively, are presented as temporary equity, outside of the stockholders’ equity section of the Company’s balance sheet.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Standards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Accounting Standards Update (“ASU”) No. 2020-06, “</w:t>
      </w:r>
      <w:r>
        <w:rPr>
          <w:rFonts w:ascii="Times New Roman;Times;Serif" w:hAnsi="Times New Roman;Times;Serif"/>
          <w:b w:val="false"/>
          <w:i/>
          <w:caps w:val="false"/>
          <w:smallCaps w:val="false"/>
          <w:sz w:val="20"/>
        </w:rPr>
        <w:t>Debt — Debt with Conversion and Other Options (Subtopic 470-20) and Derivatives and Hedging — Contracts in Entity’s Own Equity (Subtopic 815-40): Accounting for Convertible Instruments and Contracts in an Entity’s Own Equity (“ASU 2020-06”)</w:t>
      </w:r>
      <w:r>
        <w:rPr>
          <w:rFonts w:ascii="Times New Roman;Times;Serif" w:hAnsi="Times New Roman;Times;Serif"/>
          <w:b w:val="false"/>
          <w:i w:val="false"/>
          <w:caps w:val="false"/>
          <w:smallCaps w:val="false"/>
          <w:sz w:val="20"/>
        </w:rPr>
        <w:t>”,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ASU 2020-06 is effective for the Company on January 1, 2023. The Company does not expect the adoption of the ASU to have a material impact on the Company’s financial position, results of operations or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standards, if currently adopted, would have a material effect on the Company’s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INITAL PUBLIC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Initial Public Offering, the Company sold 7,500,000 Units at a price of $10.00 per Unit. Each Unit consists of one share of Class A common stock and three-fourths of one redeemable warrant (“Public Warrant”). Each whole Public Warrant entitles the holder to purchase one share of Class A common stock at a price of $11.50 per share, subject to adjustment (see Note 7).</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PRIVATE PLACEMENTS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Company consummated the private sale of 317,600 Private Placement Units at a price of $10.00 per Private Placement Unit ($3,176,000) to the Sponsor. Each Private Placement Unit consists of one share of Class A common stock and three-fourths of one redeemable warrant (“Private Warrant”). Each Private Warrant is exercisable to purchase one share of Class A common stock at a price of $11.50 per share, subject to adjustment (see Note 7). The proceeds from the sale of the Private Placement Units was added to the net proceeds from the Initial Public Offering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Warrants will expire worthless. The Private Warrants (including the Class A common stock issuable upon exercise of the Private Warrants) will not be transferable, assignable or salable until after the completion of an Initial Business Combination, subject to certain exceptions.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RELATED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Founder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2021, the Sponsor’s investors received a total of 2,156,250 of the Company’s Class B common stock (as adjusted, the “Founder Shares”) for an aggregate purchase price of $25,000. The Founder Shares included an aggregate of up to 281,250 shares subject to forfeiture to the extent that the underwriters’ over-allotment is not exercised in full or in part, so that the number of Founder Shares will equal, on an as-converted basis, approximately 20% of the Company’s issued and outstanding shares of common stock after the Initial Public Offering.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have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2021, Larkspur Health LLC transferred 231,423 founder shares to certain additional sponsor investors and the representative transferred 110,723 founder shares to certain additional sponsor investors. The Company accounted for the excess of fair value over the purchase price, which totaled $2,179,470, as an offering cost with an offset to additional paid-in capital or accumulated deficit to the extent additional paid-in capital is fully depleted.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2021, the Company issued unsecured promissory notes to the Sponsor’s investors, which were amended and restated on October 7, 2021 (the “Promissory Notes”), pursuant to which the Company may borrow up to an aggregate principal amount of $750,000. The Promissory Notes are non-interest bearing and payable on the earlier of (i) December 31, 2021 or (ii) the consummation of the Initial Public Offering. Upon closing the Initial Public Offering in December the Promissory Notes were converted into Class A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5 — RELATED PARTIES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the Promissory Notes. The notes may be repaid upon completion of a Business Combination, without interest. Such Units would be identical to the Private Placement Units. In the event that a Business Combination does not close, the Company may use a portion of proceeds held outside the Trust Account to repay the Working Capital Loans but no proceeds held in the Trust Account would be used to repay the Working Capital Loans. As of March 31, 2022 and December 31, 2021, there was no amount outstanding under the Working Capital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owned by the Company’s Chief Financial Officer has an agreement to provide accounting and financial consulting services to the Company. The Company did not incur any costs for the period from March 17, 2021 (Inception) through March 31, 2021. The Company incurred $5,250 of costs during the three months ended March 31, 2022. There is no amount outstanding as of March 31, 2022 or December 31,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Founder Shares, Private Warrants and warrants that may be issued upon conversion of Working Capital Loans (and any shares of common stock issuable upon the exercise of the Private Warrants or warrants issued upon conversion of the Working Capital Loans and upon conversion of the Founder Shares) will be entitled to registration rights pursuant to a registration rights agreement to be signed prior to or on the effective date of Initial Public Offering requiring the Company to register such securities for resale (in the case of the Founder Shares, only after conversion to shares of Class A common stock).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the securities covered thereby are released from their lock-up restrictions. The Company will bear the expenses incurred in connection with the filing of any such registration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underwriters a 45-day option from the date of Initial Public Offering to purchase up to 1,125,000 additional Units to cover over-allotments, if any, at the Initial Public Offering price less the underwriting discounts and commissions. The over-allotment option is deemed to be a freestanding financial instrument indexed on the contingently redeemable shares and is accounted for as a liability pursuant to ASC 480. It is recorded as a $0 and $76,588 liability at March 31, 2022 and December 31, 2021. On January 6, 2022 the underwriters partially exercised the over-allotment option for 267,159 units. The issuance of the units resulted in gross proceeds of $2.7 million. The remaining units expired on February 6, 2022, which resulted in the forfeiture of 214,460 founders’ shares.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entitled to a cash underwriting discount of $500,000 in the aggregate payable upon the closing of the Initial Public Offering. In addition, the underwriters will be entitled to a business combination fee of $3,375,000 in the aggregate. The business combination fee will become payable to the underwriters from the amounts held in the Trust Account solely in the event that the Company completes a Business Combination, subject to the terms of the underwriting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STOCKHOLDERS’ DEFICIT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 The Company is authorized to issue 1,000,000 shares of preferred stock with a par value of $0.0001 per share with such designations, voting and other rights and preferences as may be determined from time to time by the Company’s board of directors. As of March 31, 2022 and December 31, 2021, there were no shares of preferred stock issued or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 The Company is authorized to issue 200,000,000 shares of Class A common stock with a par value of $0.0001 per share. Holders of Class A common stock are entitled to one vote for each share. As of March 31, 2022 and December 31, 2021, there were 317,600 shares of Class A common stock issued and outstanding (excluding 7,767,159 and 7,500,000 shares accounted for as temporary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 The Company is authorized to issue 20,000,000 shares of Class B common stock with a par value of $0.0001 per share. As of March 31, 2022 and December 31, 2021, there were 1,941,790 and 2,156,250 shares of Class B common stock issued and outstanding. Holders of Class B common stock are entitled to one vote for each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 In connection with our initial business combination, we may enter into a stockholder agreement or other arrangements with the stockholders of the target or other investors to provide for voting or other corporate governance arrangements that differ from those in effect upon completion of this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will automatically convert into Class A common stock at the time of a Business Combination, or earlier at the option of the holder, on a one-for-one basis, subject to adjustment. In the case that additional shares of Class A common stock, or equity-linked securities, are issued or deemed issued in excess of the amounts issued in the Initial Public Offering and related to the closing of a Business Combination, the ratio at which shares of Class B common stock shall convert into shares of Class A common stock will be adjusted (unless the holders of a majority of the then-outstanding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Initial Public Offering plus all shares of Class A common stock and equity-linked securities issued or deemed issued in connection with a Business Combination (net of the number of shares of Class A common stock redeemed in connection with a Business Combination), excluding any shares or equity-linked securities issued or issuable to any seller of an interest in the target to us in a Business Combination.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 Public Warrants may only be exercised for a whole number of shares. No fractional warrants will be issued upon separation of the Units and only whole warrants will trade. The Public Warrants will become exercisable on the later of (a) the completion of a Business Combination and (b) 12 months from the closing of the Initial Public Offering. The Public Warrants will expire five years after the completion of a Business Combination or earlier upon redemption or liquidation.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issuable upon exercise of the warrants is then effective and a current prospectus relating to those shares of Class A common stock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residence of the exercising holder, or an exemption from registration is available.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a Business Combination, the Company will use its commercially reasonable efforts to file,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commercially reasonable efforts to register or qualify the shares under applicable blue sky laws to the extent an exemption is not available.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7 — STOCKHOLDERS’ DEFICIT </w:t>
      </w:r>
      <w:r>
        <w:rPr>
          <w:rFonts w:ascii="Times New Roman;Times;Serif" w:hAnsi="Times New Roman;Times;Serif"/>
          <w:b w:val="false"/>
          <w:i w:val="false"/>
          <w:caps w:val="false"/>
          <w:smallCaps w:val="false"/>
          <w:sz w:val="20"/>
        </w:rPr>
        <w:t>(cont.)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of Warrants When the Price per Share of Class A Common Stock Equals or Exceeds $18.00</w:t>
      </w:r>
      <w:r>
        <w:rPr>
          <w:rFonts w:ascii="Times New Roman;Times;Serif" w:hAnsi="Times New Roman;Times;Serif"/>
          <w:b w:val="false"/>
          <w:i w:val="false"/>
          <w:caps w:val="false"/>
          <w:smallCaps w:val="false"/>
          <w:sz w:val="20"/>
        </w:rPr>
        <w:t> — Once the warrants become exercisable, the Company may redeem the outstanding Public Warrants:</w:t>
      </w:r>
    </w:p>
    <w:p>
      <w:pPr>
        <w:pStyle w:val="TextBody"/>
        <w:spacing w:before="0" w:after="0"/>
        <w:ind w:left="0" w:right="0" w:hanging="0"/>
        <w:jc w:val="both"/>
        <w:rPr>
          <w:caps w:val="false"/>
          <w:smallCaps w:val="false"/>
        </w:rPr>
      </w:pPr>
      <w:r>
        <w:rPr>
          <w:caps w:val="false"/>
          <w:smallCaps w:val="false"/>
        </w:rPr>
        <w:t> </w:t>
      </w:r>
    </w:p>
    <w:tbl>
      <w:tblPr>
        <w:tblW w:w="2275" w:type="dxa"/>
        <w:jc w:val="left"/>
        <w:tblInd w:w="0" w:type="dxa"/>
        <w:tblCellMar>
          <w:top w:w="0" w:type="dxa"/>
          <w:left w:w="0" w:type="dxa"/>
          <w:bottom w:w="0" w:type="dxa"/>
          <w:right w:w="0" w:type="dxa"/>
        </w:tblCellMar>
      </w:tblPr>
      <w:tblGrid>
        <w:gridCol w:w="75"/>
        <w:gridCol w:w="170"/>
        <w:gridCol w:w="20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030" w:type="dxa"/>
            <w:tcBorders/>
            <w:shd w:fill="auto" w:val="clear"/>
            <w:vAlign w:val="center"/>
          </w:tcPr>
          <w:p>
            <w:pPr>
              <w:pStyle w:val="TableContents"/>
              <w:spacing w:before="0" w:after="283"/>
              <w:jc w:val="both"/>
              <w:rPr>
                <w:sz w:val="20"/>
              </w:rPr>
            </w:pPr>
            <w:r>
              <w:rPr>
                <w:sz w:val="20"/>
              </w:rPr>
              <w:t>in whole and not in part;</w:t>
            </w:r>
          </w:p>
        </w:tc>
      </w:tr>
    </w:tbl>
    <w:p>
      <w:pPr>
        <w:pStyle w:val="TextBody"/>
        <w:spacing w:before="0" w:after="0"/>
        <w:ind w:left="0" w:right="0" w:hanging="0"/>
        <w:jc w:val="both"/>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75"/>
        <w:gridCol w:w="170"/>
        <w:gridCol w:w="31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110" w:type="dxa"/>
            <w:tcBorders/>
            <w:shd w:fill="auto" w:val="clear"/>
            <w:vAlign w:val="center"/>
          </w:tcPr>
          <w:p>
            <w:pPr>
              <w:pStyle w:val="TableContents"/>
              <w:spacing w:before="0" w:after="283"/>
              <w:jc w:val="both"/>
              <w:rPr>
                <w:sz w:val="20"/>
              </w:rPr>
            </w:pPr>
            <w:r>
              <w:rPr>
                <w:sz w:val="20"/>
              </w:rPr>
              <w:t>at a price of $0.01 per Public Warrant;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upon a minimum of 30 days’ prior written notice of redemption, or the 30-day redemption period to each warrant holder;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sz w:val="20"/>
              </w:rPr>
            </w:pPr>
            <w:r>
              <w:rPr>
                <w:sz w:val="20"/>
              </w:rPr>
              <w:t>if, and only if, the last reported sale price of the Class A common stock equals or exceeds $18.00 per share (as adjusted for stock splits, stock dividends, reorganization, recapitalizations and the like) for any 20 trading days within a 30-trading day period ending on the third trading day prior to the date on which the Company sends the notice of redemption to warrant holders.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the Company, the Company may exercise its redemption right even if it is unable to register or qualify the underlying securities for sale under all applicable state securities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common stock issuable upon exercise of the Public Warrants may be adjusted in certain circumstances including in the event of a stock dividend, extraordinary dividend or recapitalization, reorganization, merger or consolidation. However, except as described below, the Public Warrants will not be adjusted for issuances of common stock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which are classified as equity, are identical to the Public Warrants underlying the Units sold in the Initial Public Offering, except that the Private Warrants and the Class A common stock issuable upon the exercise of the Private Warrants will not be transferable, assignable or saleable until after the completion of a Business Combination, subject to certain limited exceptions. Further, there is no redemption rights or liquidating distributions from the trust account with respect to the private shares or private warrants, which will expire worthless if we do not consummate a business combination within 24 months from the closing of this offering.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financial statements were issued. Based upon this review the Company did not identify any subsequent events that would have required adjustment or disclosure in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to the “Company,” “us,” “our” or “we” refer to Larkspur Health Acquisition Corp. The following discussion and analysis of our financial condition and results of operations should be read in conjunction with our audited financial statements and related notes included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included in this Report including, without limitation, statements under this “Management’s Discussion and Analysis of Financial Condition and Results of Operations” regarding the Company’s financial position, business strategy and the plans and objectives of management for future operations, are forward- looking statements. When used in this Report, words such as “anticipate,” “believe,” “estimate,” “expect,” “intend” and similar expressions, as they relate to us or the Company’s management, identify forward-looking statements. Such forward-looking statements are based on the beliefs of management, as well as assumptions made by, and information currently available to, the Company’s management. Actual results could differ materially from those contemplated by the forward- looking statements as a result of certain factors detailed in our filings with the SEC. All subsequent written or oral forward-looking statements attributable to us or persons acting on the Company’s behalf are qualified in their entirety by this paragraph.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newly organized blank check company, incorporated as a Delaware corporation and formed for the purpose of effecting a merger, capital stock exchange, asset acquisition, stock purchase, reorganization or similar business combination with one or more businesses. While our efforts to identify a target business may span many industries and regions worldwide, we intend to focus our search for prospects within the biotechnology sector in the United States.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the IPO and the sale of the private units, the proceeds of the sale of our shares in connection with our initial business combination (including pursuant to backstop agreements we may enter into following the consummation of the IPO or otherwise), shares issued to the owners of the target, debt issued to bank or other lenders or the owners of the target, or a combination of the foregoing.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additional shares in connection with an initial business combination to the owners of the target or other investors: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may significantly dilute the equity interest of investors in the IPO, which dilution would increase if the anti-dilution provisions in the Class B common stock resulted in the issuance of Class A shares on a greater than one-to-one basis upon conversion of the Class B common stock;</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may subordinate the rights of holders of our common stock if preferred stock is issued with rights senior to those afforded our common stock;</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may have the effect of delaying or preventing a change of control of us by diluting the stock ownership or voting rights of a person seeking to obtain control of us; and</w:t>
            </w:r>
          </w:p>
        </w:tc>
      </w:tr>
    </w:tbl>
    <w:p>
      <w:pPr>
        <w:pStyle w:val="TextBody"/>
        <w:spacing w:before="0" w:after="0"/>
        <w:ind w:left="720" w:right="0" w:hanging="360"/>
        <w:rPr>
          <w:caps w:val="false"/>
          <w:smallCaps w:val="false"/>
        </w:rPr>
      </w:pPr>
      <w:r>
        <w:rPr>
          <w:caps w:val="false"/>
          <w:smallCaps w:val="false"/>
        </w:rPr>
        <w:t> </w:t>
      </w:r>
    </w:p>
    <w:tbl>
      <w:tblPr>
        <w:tblW w:w="8808" w:type="dxa"/>
        <w:jc w:val="left"/>
        <w:tblInd w:w="0" w:type="dxa"/>
        <w:tblCellMar>
          <w:top w:w="0" w:type="dxa"/>
          <w:left w:w="0" w:type="dxa"/>
          <w:bottom w:w="0" w:type="dxa"/>
          <w:right w:w="0" w:type="dxa"/>
        </w:tblCellMar>
      </w:tblPr>
      <w:tblGrid>
        <w:gridCol w:w="38"/>
        <w:gridCol w:w="170"/>
        <w:gridCol w:w="8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00" w:type="dxa"/>
            <w:tcBorders/>
            <w:shd w:fill="auto" w:val="clear"/>
            <w:vAlign w:val="center"/>
          </w:tcPr>
          <w:p>
            <w:pPr>
              <w:pStyle w:val="TableContents"/>
              <w:spacing w:before="0" w:after="283"/>
              <w:rPr/>
            </w:pPr>
            <w:r>
              <w:rPr/>
              <w:t>may adversely affect prevailing market prices for our Class A common stock and warrants.</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jc w:val="center"/>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if we issue debt securities or otherwise incur significant debt to bank or other lenders or the owners of a target, it could result in:</w:t>
      </w:r>
    </w:p>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default and foreclosure on our assets if our operating revenues after an initial business combination are insufficient to repay our debt obligations;</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p>
      <w:pPr>
        <w:pStyle w:val="TextBody"/>
        <w:spacing w:before="0" w:after="0"/>
        <w:ind w:left="720" w:right="0" w:hanging="360"/>
        <w:rPr>
          <w:caps w:val="false"/>
          <w:smallCaps w:val="false"/>
        </w:rPr>
      </w:pPr>
      <w:r>
        <w:rPr>
          <w:caps w:val="false"/>
          <w:smallCaps w:val="false"/>
        </w:rPr>
        <w:t> </w:t>
      </w:r>
    </w:p>
    <w:tbl>
      <w:tblPr>
        <w:tblW w:w="9723" w:type="dxa"/>
        <w:jc w:val="left"/>
        <w:tblInd w:w="0" w:type="dxa"/>
        <w:tblCellMar>
          <w:top w:w="0" w:type="dxa"/>
          <w:left w:w="0" w:type="dxa"/>
          <w:bottom w:w="0" w:type="dxa"/>
          <w:right w:w="0" w:type="dxa"/>
        </w:tblCellMar>
      </w:tblPr>
      <w:tblGrid>
        <w:gridCol w:w="38"/>
        <w:gridCol w:w="170"/>
        <w:gridCol w:w="95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515" w:type="dxa"/>
            <w:tcBorders/>
            <w:shd w:fill="auto" w:val="clear"/>
            <w:vAlign w:val="center"/>
          </w:tcPr>
          <w:p>
            <w:pPr>
              <w:pStyle w:val="TableContents"/>
              <w:spacing w:before="0" w:after="283"/>
              <w:rPr/>
            </w:pPr>
            <w:r>
              <w:rPr/>
              <w:t>our immediate payment of all principal and accrued interest, if any, if the debt is payable on demand;</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our inability to obtain necessary additional financing if the debt contains covenants restricting our ability to obtain such financing while the debt is outstanding;</w:t>
            </w:r>
          </w:p>
        </w:tc>
      </w:tr>
    </w:tbl>
    <w:p>
      <w:pPr>
        <w:pStyle w:val="TextBody"/>
        <w:spacing w:before="0" w:after="0"/>
        <w:ind w:left="720" w:right="0" w:hanging="360"/>
        <w:rPr>
          <w:caps w:val="false"/>
          <w:smallCaps w:val="false"/>
        </w:rPr>
      </w:pPr>
      <w:r>
        <w:rPr>
          <w:caps w:val="false"/>
          <w:smallCaps w:val="false"/>
        </w:rPr>
        <w:t> </w:t>
      </w:r>
    </w:p>
    <w:tbl>
      <w:tblPr>
        <w:tblW w:w="5178" w:type="dxa"/>
        <w:jc w:val="left"/>
        <w:tblInd w:w="0" w:type="dxa"/>
        <w:tblCellMar>
          <w:top w:w="0" w:type="dxa"/>
          <w:left w:w="0" w:type="dxa"/>
          <w:bottom w:w="0" w:type="dxa"/>
          <w:right w:w="0" w:type="dxa"/>
        </w:tblCellMar>
      </w:tblPr>
      <w:tblGrid>
        <w:gridCol w:w="38"/>
        <w:gridCol w:w="170"/>
        <w:gridCol w:w="49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70" w:type="dxa"/>
            <w:tcBorders/>
            <w:shd w:fill="auto" w:val="clear"/>
            <w:vAlign w:val="center"/>
          </w:tcPr>
          <w:p>
            <w:pPr>
              <w:pStyle w:val="TableContents"/>
              <w:spacing w:before="0" w:after="283"/>
              <w:rPr/>
            </w:pPr>
            <w:r>
              <w:rPr/>
              <w:t>our inability to pay dividends on our common stock;</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limitations on our flexibility in planning for and reacting to changes in our business and in the industry in which we operate;</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increased vulnerability to adverse changes in general economic, industry and competitive conditions and adverse changes in government regulation;</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rPr/>
            </w:pPr>
            <w:r>
              <w:rPr/>
              <w:t>limitations on our ability to borrow additional amounts for expenses, capital expenditures, acquisitions, debt service requirements, and execution of our strategy; and</w:t>
            </w:r>
          </w:p>
        </w:tc>
      </w:tr>
    </w:tbl>
    <w:p>
      <w:pPr>
        <w:pStyle w:val="TextBody"/>
        <w:spacing w:before="0" w:after="0"/>
        <w:ind w:left="720" w:right="0" w:hanging="360"/>
        <w:rPr>
          <w:caps w:val="false"/>
          <w:smallCaps w:val="false"/>
        </w:rPr>
      </w:pPr>
      <w:r>
        <w:rPr>
          <w:caps w:val="false"/>
          <w:smallCaps w:val="false"/>
        </w:rPr>
        <w:t> </w:t>
      </w:r>
    </w:p>
    <w:tbl>
      <w:tblPr>
        <w:tblW w:w="8628" w:type="dxa"/>
        <w:jc w:val="left"/>
        <w:tblInd w:w="0" w:type="dxa"/>
        <w:tblCellMar>
          <w:top w:w="0" w:type="dxa"/>
          <w:left w:w="0" w:type="dxa"/>
          <w:bottom w:w="0" w:type="dxa"/>
          <w:right w:w="0" w:type="dxa"/>
        </w:tblCellMar>
      </w:tblPr>
      <w:tblGrid>
        <w:gridCol w:w="38"/>
        <w:gridCol w:w="170"/>
        <w:gridCol w:w="84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20" w:type="dxa"/>
            <w:tcBorders/>
            <w:shd w:fill="auto" w:val="clear"/>
            <w:vAlign w:val="center"/>
          </w:tcPr>
          <w:p>
            <w:pPr>
              <w:pStyle w:val="TableContents"/>
              <w:spacing w:before="0" w:after="283"/>
              <w:rPr/>
            </w:pPr>
            <w:r>
              <w:rPr/>
              <w:t>other purposes and other disadvantages compared to our competitors who have less debt.</w:t>
            </w:r>
          </w:p>
        </w:tc>
      </w:tr>
    </w:tbl>
    <w:p>
      <w:pPr>
        <w:pStyle w:val="TextBody"/>
        <w:spacing w:before="0" w:after="0"/>
        <w:ind w:left="720" w:right="0" w:hanging="36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Known Trends or Future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neither engaged in any operations nor generated any revenues to date. Our only activities since inception have been organizational activities and those necessary to prepare for the IPO. Following the IPO, we will not generate any operating revenues until after completion of our initial business combination. We will generate non-operating income in the form of interest income on cash and cash equivalents after the IPO. There has been no significant change in our financial or trading position and no material adverse change has occurred since the date of our audited financial statements. After the IPO,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the IPO.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three-month period ended March 31, 2022, we had a net loss of $720,006, which consists primarily of formation and operating costs of $801,048, partially offset by change in fair value of derivative liability of $76,588.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2021, we consummated our initial public offering of 7,500,000 units. Each unit consists of one share of Class A common stock of the Company, par value $0.0001 per share, and three-fourths of one redeemable warrant of the Company, with each warrant entitling the holder thereof to purchase one share of Class A common stock for $11.50 per whole share. The units were sold at a price of $10.00 per unit, generating gross proceeds to the Company of $75,000,000.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IPO, the Company consummated a private placement with the Sponsors of 317,600 units in the aggregate, each unit consisting of one Class A common stock of the Company and three-fourths of one redeemable warrant, each at a purchase price of $10.00 per unit, generating gross proceeds to the Company of $3,176,000.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$75,750,000 of the proceeds from the initial public offering and sale of the placement units was placed in the trust account maintained by maintained by Continental Stock Transfer and Trust Co., acting as trustee.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2022, we issued an additional 267,159 units and 2,672 placement units in connection with the exercise of the underwriters’ over-allotment option, generating an additional $2,698,306 of gross proceeds.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substantially all of the funds held in the trust account, including any amounts representing interest earned on the trust account (less deferred underwriting commissions), to complete our initial business combination. We may withdraw interest to pay taxes. We estimate our annual franchise tax obligations, based on the number of shares of our common stock authorized and outstanding after the completion of the IPO, to be $200,000, which is the maximum amount of annual franchise taxes payable by us as a Delaware corporation per annum, which we may pay from funds from the IPO held outside of the trust account or from interest earned on the funds held in our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initial business combination, we will have available to us the approximately $1,250,000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working capital deficiencies or finance transaction costs in connection with an intended initial business combination, our sponsors or an affiliate of our sponsors or certain of our officers and directors may, but are not obligated to, loan us funds on a non-interest bearing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Other than as described above,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primary liquidity requirements during that period to include approximately $425,000 for legal, accounting, due diligence, travel and other expenses associated with structuring, negotiating and documenting successful business combinations, $600,000 for D&amp;O insurance, $150,000 for legal and accounting fees related to regulatory reporting requirements, and approximately $75,000 for working capital that will be used for miscellaneous expenses and reserves.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we will need to raise additional funds following the IPO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are targeting businesses larger than we could acquire with the net proceeds of the IPO and the sale of the private units,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Company’s plans to consummate a business combination will be successful within the combination period. As a result, there is substantial doubt about the entity’s ability to continue as a going concern within one year after the date that the financial statements are issued or are available to be issued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the net decrease in cash was $98,165. For the same period, cash used in operating activities was $98,165, primarily as a result of a net loss of $720,006 partially offset by a change in accrued liabilities of $628,213. Cash used in investing activities was $2,698,306, used for cash deposited into the Trust, and cash provided by financing activities was $$2,698,306 and primarily relates to the underwriters partial exercise of the over allotment option</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long-term debt obligations, capital lease obligations, operating lease obligations, purchase obligations or long-term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sponsors,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sponsors,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finance transaction costs in connection with an intended initial business combination, our sponsors or an affiliate of our sponsors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The terms of such loans by our officers and directors, if any, have not been determined and no written agreements exist with respect to such loans. We do not expect to seek loans from parties other than our sponsors or an affiliate of our sponsors as we do not believe third parties will be willing to loan such funds and provide a waiver against any and all rights to seek access to funds in our trust account.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sponsors have agreed to waive their redemption rights with respect to their founder shares (i) in connection with the consummation of a business combination, (ii) in connection with a stockholder vote to amend our amended and restated certificate of incorporation to modify the substance or timing of our obligation to allow redemption in connection with our initial business combination or certain amendments to our charter prior thereto or to redeem 100% of our public shares if we do not complete our initial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and (iii) if we fail to consummate a business combination within 12 months from the completion of the IPO (or up to 18 months from the closing of the IPO at the election of the Company in two separate three month extensions subject to satisfaction of certain conditions, including the deposit $776,716 ($0.10 per unit) for each three month extension, into the trust account, or as extended by the Company’s stockholders in accordance with our amended and restated certificate of incorporation) or if we liquidate prior to the expiration of the 12-month period (or up to 18-month period). However, our initial stockholders will be entitled to redemption rights with respect to any public shares held by them if we fail to consummate a business combination or liquidate within the 12-month period (or up to 18-month period). In addition, the representative has agreed (i) to waive its redemption rights (or right to participate in any tender offer) with respect to such shares in connection with the completion of our initial business combination and (ii) to waive its rights to liquidating distributions from the trust account with respect to such shares if we fail to complete our initial business combination within 12 months from the closing of the IPO (or up to 18 months from the closing of the IPO at the election of the Company in two separate three month extensions subject to satisfaction of certain conditions, including the deposit of $776,716 ($0.10 per unit) for each three month extension, into the trust account, or as extended by the Company’s stockholders in accordance with our amended and restated certificate of incorporation).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rights agreement we entered into with our initial stockholders on December 20, 2021, we may be required to register certain securities for sale under the Securities Act. Our initial stockholders (including the representative), and holders of units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not identified any critical accounting policies or estimates.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The Company has two classes of stock, which are referred to as Class A Common Stock and Class B Common Stock. Income and losses are shared pro rata between the two classes of stock. Net income (loss) per share of common stock is computed by dividing net income (loss) by the weighted average number of shares of common stock outstanding for the period. Accretion associated with the redeemable shares of Class A common stock is excluded from income (loss) per common share as the redemption value approximates fair value.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loss per share of common stock does not consider the effect of the warrants issued in connection with the (i) Initial Public Offering, and (ii) the private placement since the exercise of the warrants is contingent upon the occurrence of future events. As of March 31, 2022 and December 31, 2021, the Company did not have any dilutive securities or other contracts that could, potentially, be exercised or converted into common stock and then share in the earnings of the Company. As a result, diluted net loss per common share is the same as basic net loss per common share for the periods presented.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 The over-allotment option is deemed to be a freestanding financial instrument indexed on the contingently redeemable shares and is accounted for as a liability pursuant to ASC 480. The warrants issued in connection with the initial public offering and the private placement are recorded in equity as they qualify for equity treatment under ASC 815-40.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 subject to possible redemption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Class A common stock subject to possible redemption in accordance with the guidance enumerated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Common stock subject to mandatory redemption is classified as a liability instrument and are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by the Company to be outside of the Company’s control and subject to the occurrence of uncertain future events. Accordingly, at March 31, 2022 and December 31, 2021, the shares of Class A common stock subject to possible redemption in the amount of $78,448,306 and $75,750,000, respectively, are presented as temporary equity, outside of the stockholders’ equity section of the Company’s balance sheet.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make disclosures under this Item.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serves as our Principal Executive Officer and Principal Financial and Accounting Officer), to allow timely decisions regarding required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March 31, 2022. Based upon his evaluation, our Chief Executive Officer and Chief Financial Officer concluded that our disclosure controls and procedures (as defined in Rules 13a-15(e) and 15d-15(e) under the Exchange Act) were effective.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INFORMATION</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on Form 10-Q, there have been no material changes to the risk factors disclosed in the Registration Statement.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For the complete list of risks relating to our operations, see the section titled “Risk Factors” contained in the Registration Statement.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1B. LEGAL PROCEEDINGS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material current litigation, arbitration or governmental proceeding currently pending against us or any members of our management team in their capacity as such.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 xml:space="preserve">ITEM 6. EXHIBITS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 Index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84"/>
        <w:gridCol w:w="60"/>
        <w:gridCol w:w="9361"/>
      </w:tblGrid>
      <w:tr>
        <w:trPr/>
        <w:tc>
          <w:tcPr>
            <w:tcW w:w="784" w:type="dxa"/>
            <w:tcBorders>
              <w:bottom w:val="single" w:sz="12" w:space="0" w:color="000000"/>
            </w:tcBorders>
            <w:shd w:fill="auto" w:val="clear"/>
            <w:vAlign w:val="center"/>
          </w:tcPr>
          <w:p>
            <w:pPr>
              <w:pStyle w:val="TableContents"/>
              <w:spacing w:before="0" w:after="283"/>
              <w:jc w:val="both"/>
              <w:rPr>
                <w:b/>
                <w:sz w:val="20"/>
              </w:rPr>
            </w:pPr>
            <w:r>
              <w:rPr>
                <w:b/>
                <w:sz w:val="20"/>
              </w:rPr>
              <w:t>Exhibit</w:t>
            </w:r>
          </w:p>
        </w:tc>
        <w:tc>
          <w:tcPr>
            <w:tcW w:w="60" w:type="dxa"/>
            <w:tcBorders/>
            <w:shd w:fill="auto" w:val="clear"/>
            <w:tcMar>
              <w:bottom w:w="0" w:type="dxa"/>
            </w:tcMar>
            <w:vAlign w:val="center"/>
          </w:tcPr>
          <w:p>
            <w:pPr>
              <w:pStyle w:val="TableContents"/>
              <w:spacing w:before="0" w:after="283"/>
              <w:rPr/>
            </w:pPr>
            <w:r>
              <w:rPr/>
              <w:t> </w:t>
            </w:r>
          </w:p>
        </w:tc>
        <w:tc>
          <w:tcPr>
            <w:tcW w:w="9361" w:type="dxa"/>
            <w:tcBorders>
              <w:bottom w:val="single" w:sz="12" w:space="0" w:color="000000"/>
            </w:tcBorders>
            <w:shd w:fill="auto" w:val="clear"/>
            <w:vAlign w:val="center"/>
          </w:tcPr>
          <w:p>
            <w:pPr>
              <w:pStyle w:val="TableContents"/>
              <w:spacing w:before="0" w:after="283"/>
              <w:jc w:val="center"/>
              <w:rPr>
                <w:b/>
                <w:sz w:val="20"/>
              </w:rPr>
            </w:pPr>
            <w:r>
              <w:rPr>
                <w:b/>
                <w:sz w:val="20"/>
              </w:rPr>
              <w:t>Description</w:t>
            </w:r>
          </w:p>
        </w:tc>
      </w:tr>
      <w:tr>
        <w:trPr/>
        <w:tc>
          <w:tcPr>
            <w:tcW w:w="784" w:type="dxa"/>
            <w:tcBorders/>
            <w:shd w:fill="CCEEFF" w:val="clear"/>
            <w:tcMar>
              <w:bottom w:w="0" w:type="dxa"/>
            </w:tcMar>
            <w:vAlign w:val="center"/>
          </w:tcPr>
          <w:p>
            <w:pPr>
              <w:pStyle w:val="TableContents"/>
              <w:spacing w:before="0" w:after="283"/>
              <w:jc w:val="both"/>
              <w:rPr>
                <w:sz w:val="20"/>
              </w:rPr>
            </w:pPr>
            <w:r>
              <w:rPr>
                <w:sz w:val="20"/>
              </w:rPr>
              <w:t>31.1</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pPr>
            <w:hyperlink w:anchor="f10q0322ex31-1_larkspur.htm">
              <w:r>
                <w:rPr>
                  <w:rStyle w:val="InternetLink"/>
                  <w:sz w:val="20"/>
                </w:rPr>
                <w:t>Certification of the Principal Executive Officer required by Rule 13a-14(a) or Rule 15d-14(a).*</w:t>
              </w:r>
            </w:hyperlink>
          </w:p>
        </w:tc>
      </w:tr>
      <w:tr>
        <w:trPr/>
        <w:tc>
          <w:tcPr>
            <w:tcW w:w="784" w:type="dxa"/>
            <w:tcBorders/>
            <w:shd w:fill="auto" w:val="clear"/>
            <w:tcMar>
              <w:bottom w:w="0" w:type="dxa"/>
            </w:tcMar>
            <w:vAlign w:val="center"/>
          </w:tcPr>
          <w:p>
            <w:pPr>
              <w:pStyle w:val="TableContents"/>
              <w:spacing w:before="0" w:after="283"/>
              <w:jc w:val="both"/>
              <w:rPr>
                <w:sz w:val="20"/>
              </w:rPr>
            </w:pPr>
            <w:r>
              <w:rPr>
                <w:sz w:val="20"/>
              </w:rPr>
              <w:t>31.2</w:t>
            </w:r>
          </w:p>
        </w:tc>
        <w:tc>
          <w:tcPr>
            <w:tcW w:w="60" w:type="dxa"/>
            <w:tcBorders/>
            <w:shd w:fill="auto" w:val="clear"/>
            <w:tcMar>
              <w:bottom w:w="0" w:type="dxa"/>
            </w:tcMar>
            <w:vAlign w:val="center"/>
          </w:tcPr>
          <w:p>
            <w:pPr>
              <w:pStyle w:val="TableContents"/>
              <w:spacing w:before="0" w:after="283"/>
              <w:rPr/>
            </w:pPr>
            <w:r>
              <w:rPr/>
              <w:t> </w:t>
            </w:r>
          </w:p>
        </w:tc>
        <w:tc>
          <w:tcPr>
            <w:tcW w:w="9361" w:type="dxa"/>
            <w:tcBorders/>
            <w:shd w:fill="auto" w:val="clear"/>
            <w:tcMar>
              <w:bottom w:w="0" w:type="dxa"/>
            </w:tcMar>
            <w:vAlign w:val="center"/>
          </w:tcPr>
          <w:p>
            <w:pPr>
              <w:pStyle w:val="TableContents"/>
              <w:spacing w:before="0" w:after="283"/>
              <w:jc w:val="both"/>
              <w:rPr/>
            </w:pPr>
            <w:hyperlink w:anchor="f10q0322ex31-2_larkspur.htm">
              <w:r>
                <w:rPr>
                  <w:rStyle w:val="InternetLink"/>
                  <w:sz w:val="20"/>
                </w:rPr>
                <w:t>Certification of the Principal Financial Officer required by Rule 13a-14(a) or Rule 15d-14(a).*</w:t>
              </w:r>
            </w:hyperlink>
          </w:p>
        </w:tc>
      </w:tr>
      <w:tr>
        <w:trPr/>
        <w:tc>
          <w:tcPr>
            <w:tcW w:w="784" w:type="dxa"/>
            <w:tcBorders/>
            <w:shd w:fill="CCEEFF" w:val="clear"/>
            <w:tcMar>
              <w:bottom w:w="0" w:type="dxa"/>
            </w:tcMar>
            <w:vAlign w:val="center"/>
          </w:tcPr>
          <w:p>
            <w:pPr>
              <w:pStyle w:val="TableContents"/>
              <w:spacing w:before="0" w:after="283"/>
              <w:jc w:val="both"/>
              <w:rPr>
                <w:sz w:val="20"/>
              </w:rPr>
            </w:pPr>
            <w:r>
              <w:rPr>
                <w:sz w:val="20"/>
              </w:rPr>
              <w:t>32.1</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pPr>
            <w:hyperlink w:anchor="f10q0322ex32-1_larkspur.htm">
              <w:r>
                <w:rPr>
                  <w:rStyle w:val="InternetLink"/>
                  <w:sz w:val="20"/>
                </w:rPr>
                <w:t>Certification of the Principal Executive Officer required by Rule 13a-14(b) or Rule 15d-14(b) and 18 U.S.C. 1350**</w:t>
              </w:r>
            </w:hyperlink>
          </w:p>
        </w:tc>
      </w:tr>
      <w:tr>
        <w:trPr/>
        <w:tc>
          <w:tcPr>
            <w:tcW w:w="784" w:type="dxa"/>
            <w:tcBorders/>
            <w:shd w:fill="auto" w:val="clear"/>
            <w:tcMar>
              <w:bottom w:w="0" w:type="dxa"/>
            </w:tcMar>
            <w:vAlign w:val="center"/>
          </w:tcPr>
          <w:p>
            <w:pPr>
              <w:pStyle w:val="TableContents"/>
              <w:spacing w:before="0" w:after="283"/>
              <w:jc w:val="both"/>
              <w:rPr>
                <w:sz w:val="20"/>
              </w:rPr>
            </w:pPr>
            <w:r>
              <w:rPr>
                <w:sz w:val="20"/>
              </w:rPr>
              <w:t>32.2</w:t>
            </w:r>
          </w:p>
        </w:tc>
        <w:tc>
          <w:tcPr>
            <w:tcW w:w="60" w:type="dxa"/>
            <w:tcBorders/>
            <w:shd w:fill="auto" w:val="clear"/>
            <w:tcMar>
              <w:bottom w:w="0" w:type="dxa"/>
            </w:tcMar>
            <w:vAlign w:val="center"/>
          </w:tcPr>
          <w:p>
            <w:pPr>
              <w:pStyle w:val="TableContents"/>
              <w:spacing w:before="0" w:after="283"/>
              <w:rPr/>
            </w:pPr>
            <w:r>
              <w:rPr/>
              <w:t> </w:t>
            </w:r>
          </w:p>
        </w:tc>
        <w:tc>
          <w:tcPr>
            <w:tcW w:w="9361" w:type="dxa"/>
            <w:tcBorders/>
            <w:shd w:fill="auto" w:val="clear"/>
            <w:tcMar>
              <w:bottom w:w="0" w:type="dxa"/>
            </w:tcMar>
            <w:vAlign w:val="center"/>
          </w:tcPr>
          <w:p>
            <w:pPr>
              <w:pStyle w:val="TableContents"/>
              <w:spacing w:before="0" w:after="283"/>
              <w:jc w:val="both"/>
              <w:rPr/>
            </w:pPr>
            <w:hyperlink w:anchor="f10q0322ex32-2_larkspur.htm">
              <w:r>
                <w:rPr>
                  <w:rStyle w:val="InternetLink"/>
                  <w:sz w:val="20"/>
                </w:rPr>
                <w:t>Certification of the Principal Financial Officer required by Rule 13a-14(b) or Rule 15d-14(b) and 18 U.S.C. 1350**</w:t>
              </w:r>
            </w:hyperlink>
          </w:p>
        </w:tc>
      </w:tr>
      <w:tr>
        <w:trPr/>
        <w:tc>
          <w:tcPr>
            <w:tcW w:w="784" w:type="dxa"/>
            <w:tcBorders/>
            <w:shd w:fill="CCEEFF" w:val="clear"/>
            <w:tcMar>
              <w:bottom w:w="0" w:type="dxa"/>
            </w:tcMar>
            <w:vAlign w:val="center"/>
          </w:tcPr>
          <w:p>
            <w:pPr>
              <w:pStyle w:val="TableContents"/>
              <w:spacing w:before="0" w:after="283"/>
              <w:jc w:val="both"/>
              <w:rPr>
                <w:sz w:val="20"/>
              </w:rPr>
            </w:pPr>
            <w:r>
              <w:rPr>
                <w:sz w:val="20"/>
              </w:rPr>
              <w:t>101.INS</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sz w:val="20"/>
              </w:rPr>
            </w:pPr>
            <w:r>
              <w:rPr>
                <w:sz w:val="20"/>
              </w:rPr>
              <w:t>Inline XBRL Instance Document</w:t>
            </w:r>
          </w:p>
        </w:tc>
      </w:tr>
      <w:tr>
        <w:trPr/>
        <w:tc>
          <w:tcPr>
            <w:tcW w:w="784" w:type="dxa"/>
            <w:tcBorders/>
            <w:shd w:fill="auto" w:val="clear"/>
            <w:tcMar>
              <w:bottom w:w="0" w:type="dxa"/>
            </w:tcMar>
            <w:vAlign w:val="center"/>
          </w:tcPr>
          <w:p>
            <w:pPr>
              <w:pStyle w:val="TableContents"/>
              <w:spacing w:before="0" w:after="283"/>
              <w:jc w:val="both"/>
              <w:rPr>
                <w:sz w:val="20"/>
              </w:rPr>
            </w:pPr>
            <w:r>
              <w:rPr>
                <w:sz w:val="20"/>
              </w:rPr>
              <w:t>101.SCH</w:t>
            </w:r>
          </w:p>
        </w:tc>
        <w:tc>
          <w:tcPr>
            <w:tcW w:w="60" w:type="dxa"/>
            <w:tcBorders/>
            <w:shd w:fill="auto" w:val="clear"/>
            <w:tcMar>
              <w:bottom w:w="0" w:type="dxa"/>
            </w:tcMar>
            <w:vAlign w:val="center"/>
          </w:tcPr>
          <w:p>
            <w:pPr>
              <w:pStyle w:val="TableContents"/>
              <w:spacing w:before="0" w:after="283"/>
              <w:rPr/>
            </w:pPr>
            <w:r>
              <w:rPr/>
              <w:t> </w:t>
            </w:r>
          </w:p>
        </w:tc>
        <w:tc>
          <w:tcPr>
            <w:tcW w:w="9361" w:type="dxa"/>
            <w:tcBorders/>
            <w:shd w:fill="auto" w:val="clear"/>
            <w:tcMar>
              <w:bottom w:w="0" w:type="dxa"/>
            </w:tcMar>
            <w:vAlign w:val="center"/>
          </w:tcPr>
          <w:p>
            <w:pPr>
              <w:pStyle w:val="TableContents"/>
              <w:spacing w:before="0" w:after="283"/>
              <w:jc w:val="both"/>
              <w:rPr>
                <w:sz w:val="20"/>
              </w:rPr>
            </w:pPr>
            <w:r>
              <w:rPr>
                <w:sz w:val="20"/>
              </w:rPr>
              <w:t>Inline XBRL Taxonomy Extension Schema Document</w:t>
            </w:r>
          </w:p>
        </w:tc>
      </w:tr>
      <w:tr>
        <w:trPr/>
        <w:tc>
          <w:tcPr>
            <w:tcW w:w="784" w:type="dxa"/>
            <w:tcBorders/>
            <w:shd w:fill="CCEEFF" w:val="clear"/>
            <w:tcMar>
              <w:bottom w:w="0" w:type="dxa"/>
            </w:tcMar>
            <w:vAlign w:val="center"/>
          </w:tcPr>
          <w:p>
            <w:pPr>
              <w:pStyle w:val="TableContents"/>
              <w:spacing w:before="0" w:after="283"/>
              <w:jc w:val="both"/>
              <w:rPr>
                <w:sz w:val="20"/>
              </w:rPr>
            </w:pPr>
            <w:r>
              <w:rPr>
                <w:sz w:val="20"/>
              </w:rPr>
              <w:t>101.CAL</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sz w:val="20"/>
              </w:rPr>
            </w:pPr>
            <w:r>
              <w:rPr>
                <w:sz w:val="20"/>
              </w:rPr>
              <w:t>Inline XBRL Taxonomy Extension Calculation Linkbase Document</w:t>
            </w:r>
          </w:p>
        </w:tc>
      </w:tr>
      <w:tr>
        <w:trPr/>
        <w:tc>
          <w:tcPr>
            <w:tcW w:w="784" w:type="dxa"/>
            <w:tcBorders/>
            <w:shd w:fill="auto" w:val="clear"/>
            <w:tcMar>
              <w:bottom w:w="0" w:type="dxa"/>
            </w:tcMar>
            <w:vAlign w:val="center"/>
          </w:tcPr>
          <w:p>
            <w:pPr>
              <w:pStyle w:val="TableContents"/>
              <w:spacing w:before="0" w:after="283"/>
              <w:jc w:val="both"/>
              <w:rPr>
                <w:sz w:val="20"/>
              </w:rPr>
            </w:pPr>
            <w:r>
              <w:rPr>
                <w:sz w:val="20"/>
              </w:rPr>
              <w:t>101.DEF</w:t>
            </w:r>
          </w:p>
        </w:tc>
        <w:tc>
          <w:tcPr>
            <w:tcW w:w="60" w:type="dxa"/>
            <w:tcBorders/>
            <w:shd w:fill="auto" w:val="clear"/>
            <w:tcMar>
              <w:bottom w:w="0" w:type="dxa"/>
            </w:tcMar>
            <w:vAlign w:val="center"/>
          </w:tcPr>
          <w:p>
            <w:pPr>
              <w:pStyle w:val="TableContents"/>
              <w:spacing w:before="0" w:after="283"/>
              <w:rPr/>
            </w:pPr>
            <w:r>
              <w:rPr/>
              <w:t> </w:t>
            </w:r>
          </w:p>
        </w:tc>
        <w:tc>
          <w:tcPr>
            <w:tcW w:w="9361" w:type="dxa"/>
            <w:tcBorders/>
            <w:shd w:fill="auto" w:val="clear"/>
            <w:tcMar>
              <w:bottom w:w="0" w:type="dxa"/>
            </w:tcMar>
            <w:vAlign w:val="center"/>
          </w:tcPr>
          <w:p>
            <w:pPr>
              <w:pStyle w:val="TableContents"/>
              <w:spacing w:before="0" w:after="283"/>
              <w:jc w:val="both"/>
              <w:rPr>
                <w:sz w:val="20"/>
              </w:rPr>
            </w:pPr>
            <w:r>
              <w:rPr>
                <w:sz w:val="20"/>
              </w:rPr>
              <w:t>Inline XBRL Taxonomy Extension Definition Linkbase Document</w:t>
            </w:r>
          </w:p>
        </w:tc>
      </w:tr>
      <w:tr>
        <w:trPr/>
        <w:tc>
          <w:tcPr>
            <w:tcW w:w="784" w:type="dxa"/>
            <w:tcBorders/>
            <w:shd w:fill="CCEEFF" w:val="clear"/>
            <w:tcMar>
              <w:bottom w:w="0" w:type="dxa"/>
            </w:tcMar>
            <w:vAlign w:val="center"/>
          </w:tcPr>
          <w:p>
            <w:pPr>
              <w:pStyle w:val="TableContents"/>
              <w:spacing w:before="0" w:after="283"/>
              <w:jc w:val="both"/>
              <w:rPr>
                <w:sz w:val="20"/>
              </w:rPr>
            </w:pPr>
            <w:r>
              <w:rPr>
                <w:sz w:val="20"/>
              </w:rPr>
              <w:t>101.LAB</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sz w:val="20"/>
              </w:rPr>
            </w:pPr>
            <w:r>
              <w:rPr>
                <w:sz w:val="20"/>
              </w:rPr>
              <w:t>Inline XBRL Taxonomy Extension Label Linkbase Document</w:t>
            </w:r>
          </w:p>
        </w:tc>
      </w:tr>
      <w:tr>
        <w:trPr/>
        <w:tc>
          <w:tcPr>
            <w:tcW w:w="784" w:type="dxa"/>
            <w:tcBorders/>
            <w:shd w:fill="auto" w:val="clear"/>
            <w:tcMar>
              <w:bottom w:w="0" w:type="dxa"/>
            </w:tcMar>
            <w:vAlign w:val="center"/>
          </w:tcPr>
          <w:p>
            <w:pPr>
              <w:pStyle w:val="TableContents"/>
              <w:spacing w:before="0" w:after="283"/>
              <w:jc w:val="both"/>
              <w:rPr>
                <w:sz w:val="20"/>
              </w:rPr>
            </w:pPr>
            <w:r>
              <w:rPr>
                <w:sz w:val="20"/>
              </w:rPr>
              <w:t>101.PRE</w:t>
            </w:r>
          </w:p>
        </w:tc>
        <w:tc>
          <w:tcPr>
            <w:tcW w:w="60" w:type="dxa"/>
            <w:tcBorders/>
            <w:shd w:fill="auto" w:val="clear"/>
            <w:tcMar>
              <w:bottom w:w="0" w:type="dxa"/>
            </w:tcMar>
            <w:vAlign w:val="center"/>
          </w:tcPr>
          <w:p>
            <w:pPr>
              <w:pStyle w:val="TableContents"/>
              <w:spacing w:before="0" w:after="283"/>
              <w:rPr/>
            </w:pPr>
            <w:r>
              <w:rPr/>
              <w:t> </w:t>
            </w:r>
          </w:p>
        </w:tc>
        <w:tc>
          <w:tcPr>
            <w:tcW w:w="9361" w:type="dxa"/>
            <w:tcBorders/>
            <w:shd w:fill="auto" w:val="clear"/>
            <w:tcMar>
              <w:bottom w:w="0" w:type="dxa"/>
            </w:tcMar>
            <w:vAlign w:val="center"/>
          </w:tcPr>
          <w:p>
            <w:pPr>
              <w:pStyle w:val="TableContents"/>
              <w:spacing w:before="0" w:after="283"/>
              <w:jc w:val="both"/>
              <w:rPr>
                <w:sz w:val="20"/>
              </w:rPr>
            </w:pPr>
            <w:r>
              <w:rPr>
                <w:sz w:val="20"/>
              </w:rPr>
              <w:t>Inline XBRL Taxonomy Extension Presentation Linkbase Document</w:t>
            </w:r>
          </w:p>
        </w:tc>
      </w:tr>
      <w:tr>
        <w:trPr/>
        <w:tc>
          <w:tcPr>
            <w:tcW w:w="784" w:type="dxa"/>
            <w:tcBorders/>
            <w:shd w:fill="CCEEFF" w:val="clear"/>
            <w:tcMar>
              <w:bottom w:w="0" w:type="dxa"/>
            </w:tcMar>
            <w:vAlign w:val="center"/>
          </w:tcPr>
          <w:p>
            <w:pPr>
              <w:pStyle w:val="TableContents"/>
              <w:spacing w:before="0" w:after="283"/>
              <w:jc w:val="both"/>
              <w:rPr>
                <w:sz w:val="20"/>
              </w:rPr>
            </w:pPr>
            <w:r>
              <w:rPr>
                <w:sz w:val="20"/>
              </w:rPr>
              <w:t>104*</w:t>
            </w:r>
          </w:p>
        </w:tc>
        <w:tc>
          <w:tcPr>
            <w:tcW w:w="60" w:type="dxa"/>
            <w:tcBorders/>
            <w:shd w:fill="CCEEFF" w:val="clear"/>
            <w:tcMar>
              <w:bottom w:w="0" w:type="dxa"/>
            </w:tcMar>
            <w:vAlign w:val="center"/>
          </w:tcPr>
          <w:p>
            <w:pPr>
              <w:pStyle w:val="TableContents"/>
              <w:spacing w:before="0" w:after="283"/>
              <w:rPr/>
            </w:pPr>
            <w:r>
              <w:rPr/>
              <w:t> </w:t>
            </w:r>
          </w:p>
        </w:tc>
        <w:tc>
          <w:tcPr>
            <w:tcW w:w="9361" w:type="dxa"/>
            <w:tcBorders/>
            <w:shd w:fill="CCEEFF" w:val="clear"/>
            <w:tcMar>
              <w:bottom w:w="0" w:type="dxa"/>
            </w:tcMar>
            <w:vAlign w:val="center"/>
          </w:tcPr>
          <w:p>
            <w:pPr>
              <w:pStyle w:val="TableContents"/>
              <w:spacing w:before="0" w:after="283"/>
              <w:jc w:val="both"/>
              <w:rPr>
                <w:sz w:val="20"/>
              </w:rPr>
            </w:pPr>
            <w:r>
              <w:rPr>
                <w:sz w:val="20"/>
              </w:rPr>
              <w:t>Cover Page Interactive Data File (formatted in Inline XBRL and contained in Exhibit 101)</w:t>
            </w:r>
          </w:p>
        </w:tc>
      </w:tr>
    </w:tbl>
    <w:p>
      <w:pPr>
        <w:pStyle w:val="TextBody"/>
        <w:spacing w:before="0" w:after="0"/>
        <w:ind w:left="0" w:right="0" w:hanging="0"/>
        <w:rPr>
          <w:caps w:val="false"/>
          <w:smallCaps w:val="false"/>
        </w:rPr>
      </w:pPr>
      <w:r>
        <w:rPr>
          <w:caps w:val="false"/>
          <w:smallCaps w:val="false"/>
        </w:rPr>
        <w:t> </w:t>
      </w:r>
    </w:p>
    <w:tbl>
      <w:tblPr>
        <w:tblW w:w="1390" w:type="dxa"/>
        <w:jc w:val="left"/>
        <w:tblInd w:w="0" w:type="dxa"/>
        <w:tblCellMar>
          <w:top w:w="0" w:type="dxa"/>
          <w:left w:w="0" w:type="dxa"/>
          <w:bottom w:w="0" w:type="dxa"/>
          <w:right w:w="0" w:type="dxa"/>
        </w:tblCellMar>
      </w:tblPr>
      <w:tblGrid>
        <w:gridCol w:w="140"/>
        <w:gridCol w:w="1250"/>
      </w:tblGrid>
      <w:tr>
        <w:trPr/>
        <w:tc>
          <w:tcPr>
            <w:tcW w:w="140" w:type="dxa"/>
            <w:tcBorders/>
            <w:shd w:fill="auto" w:val="clear"/>
            <w:vAlign w:val="center"/>
          </w:tcPr>
          <w:p>
            <w:pPr>
              <w:pStyle w:val="TableContents"/>
              <w:spacing w:before="0" w:after="283"/>
              <w:jc w:val="left"/>
              <w:rPr>
                <w:sz w:val="20"/>
              </w:rPr>
            </w:pPr>
            <w:r>
              <w:rPr>
                <w:sz w:val="20"/>
              </w:rPr>
              <w:t>*</w:t>
            </w:r>
          </w:p>
        </w:tc>
        <w:tc>
          <w:tcPr>
            <w:tcW w:w="1250" w:type="dxa"/>
            <w:tcBorders/>
            <w:shd w:fill="auto" w:val="clear"/>
            <w:vAlign w:val="center"/>
          </w:tcPr>
          <w:p>
            <w:pPr>
              <w:pStyle w:val="TableContents"/>
              <w:spacing w:before="0" w:after="283"/>
              <w:jc w:val="both"/>
              <w:rPr>
                <w:sz w:val="20"/>
              </w:rPr>
            </w:pPr>
            <w:r>
              <w:rPr>
                <w:sz w:val="20"/>
              </w:rPr>
              <w:t>Filed herewith.</w:t>
            </w:r>
          </w:p>
        </w:tc>
      </w:tr>
    </w:tbl>
    <w:tbl>
      <w:tblPr>
        <w:tblW w:w="1885" w:type="dxa"/>
        <w:jc w:val="left"/>
        <w:tblInd w:w="0" w:type="dxa"/>
        <w:tblCellMar>
          <w:top w:w="0" w:type="dxa"/>
          <w:left w:w="0" w:type="dxa"/>
          <w:bottom w:w="0" w:type="dxa"/>
          <w:right w:w="0" w:type="dxa"/>
        </w:tblCellMar>
      </w:tblPr>
      <w:tblGrid>
        <w:gridCol w:w="245"/>
        <w:gridCol w:w="1640"/>
      </w:tblGrid>
      <w:tr>
        <w:trPr/>
        <w:tc>
          <w:tcPr>
            <w:tcW w:w="245" w:type="dxa"/>
            <w:tcBorders/>
            <w:shd w:fill="auto" w:val="clear"/>
            <w:vAlign w:val="center"/>
          </w:tcPr>
          <w:p>
            <w:pPr>
              <w:pStyle w:val="TableContents"/>
              <w:spacing w:before="0" w:after="283"/>
              <w:jc w:val="left"/>
              <w:rPr>
                <w:sz w:val="20"/>
              </w:rPr>
            </w:pPr>
            <w:r>
              <w:rPr>
                <w:sz w:val="20"/>
              </w:rPr>
              <w:t>**</w:t>
            </w:r>
          </w:p>
        </w:tc>
        <w:tc>
          <w:tcPr>
            <w:tcW w:w="1640" w:type="dxa"/>
            <w:tcBorders/>
            <w:shd w:fill="auto" w:val="clear"/>
            <w:vAlign w:val="center"/>
          </w:tcPr>
          <w:p>
            <w:pPr>
              <w:pStyle w:val="TableContents"/>
              <w:spacing w:before="0" w:after="283"/>
              <w:jc w:val="both"/>
              <w:rPr>
                <w:sz w:val="20"/>
              </w:rPr>
            </w:pPr>
            <w:r>
              <w:rPr>
                <w:sz w:val="20"/>
              </w:rPr>
              <w:t>Furnished herewith.</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Section13 or 15(d) of the Securities Act of 1934, the Registrant has duly caused this Report to be signed on its behalf by the undersigned, thereunto duly authorized.</w:t>
      </w:r>
    </w:p>
    <w:p>
      <w:pPr>
        <w:pStyle w:val="TextBody"/>
        <w:spacing w:before="0" w:after="0"/>
        <w:ind w:left="0" w:right="0" w:hanging="0"/>
        <w:jc w:val="both"/>
        <w:rPr>
          <w:caps w:val="false"/>
          <w:smallCaps w:val="false"/>
        </w:rPr>
      </w:pPr>
      <w:r>
        <w:rPr>
          <w:caps w:val="false"/>
          <w:smallCaps w:val="false"/>
        </w:rPr>
        <w:t> </w:t>
      </w:r>
    </w:p>
    <w:tbl>
      <w:tblPr>
        <w:tblW w:w="4360" w:type="dxa"/>
        <w:jc w:val="left"/>
        <w:tblInd w:w="0" w:type="dxa"/>
        <w:tblCellMar>
          <w:top w:w="0" w:type="dxa"/>
          <w:left w:w="0" w:type="dxa"/>
          <w:bottom w:w="0" w:type="dxa"/>
          <w:right w:w="0" w:type="dxa"/>
        </w:tblCellMar>
      </w:tblPr>
      <w:tblGrid>
        <w:gridCol w:w="1370"/>
        <w:gridCol w:w="598"/>
        <w:gridCol w:w="2392"/>
      </w:tblGrid>
      <w:tr>
        <w:trPr/>
        <w:tc>
          <w:tcPr>
            <w:tcW w:w="1370" w:type="dxa"/>
            <w:tcBorders/>
            <w:shd w:fill="auto" w:val="clear"/>
            <w:vAlign w:val="center"/>
          </w:tcPr>
          <w:p>
            <w:pPr>
              <w:pStyle w:val="TableContents"/>
              <w:spacing w:before="0" w:after="283"/>
              <w:rPr/>
            </w:pPr>
            <w:r>
              <w:rPr/>
              <w:t>May 12, 2022</w:t>
            </w:r>
          </w:p>
        </w:tc>
        <w:tc>
          <w:tcPr>
            <w:tcW w:w="2990" w:type="dxa"/>
            <w:gridSpan w:val="2"/>
            <w:tcBorders/>
            <w:shd w:fill="auto" w:val="clear"/>
            <w:vAlign w:val="center"/>
          </w:tcPr>
          <w:p>
            <w:pPr>
              <w:pStyle w:val="TableContents"/>
              <w:spacing w:before="0" w:after="283"/>
              <w:rPr>
                <w:b/>
                <w:sz w:val="20"/>
              </w:rPr>
            </w:pPr>
            <w:r>
              <w:rPr>
                <w:b/>
                <w:sz w:val="20"/>
              </w:rPr>
              <w:t>Larkspur Health Acquisition Corp.</w:t>
            </w:r>
          </w:p>
        </w:tc>
      </w:tr>
      <w:tr>
        <w:trPr/>
        <w:tc>
          <w:tcPr>
            <w:tcW w:w="137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2392"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sz w:val="20"/>
              </w:rPr>
            </w:pPr>
            <w:r>
              <w:rPr>
                <w:sz w:val="20"/>
              </w:rPr>
              <w:t>By:</w:t>
            </w:r>
          </w:p>
        </w:tc>
        <w:tc>
          <w:tcPr>
            <w:tcW w:w="2392"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Daniel J. O’Connor</w:t>
            </w:r>
          </w:p>
        </w:tc>
      </w:tr>
      <w:tr>
        <w:trPr/>
        <w:tc>
          <w:tcPr>
            <w:tcW w:w="137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sz w:val="20"/>
              </w:rPr>
            </w:pPr>
            <w:r>
              <w:rPr>
                <w:sz w:val="20"/>
              </w:rPr>
              <w:t>Name: </w:t>
            </w:r>
          </w:p>
        </w:tc>
        <w:tc>
          <w:tcPr>
            <w:tcW w:w="2392" w:type="dxa"/>
            <w:tcBorders/>
            <w:shd w:fill="auto" w:val="clear"/>
            <w:vAlign w:val="center"/>
          </w:tcPr>
          <w:p>
            <w:pPr>
              <w:pStyle w:val="TableContents"/>
              <w:spacing w:before="0" w:after="283"/>
              <w:rPr>
                <w:sz w:val="20"/>
              </w:rPr>
            </w:pPr>
            <w:r>
              <w:rPr>
                <w:sz w:val="20"/>
              </w:rPr>
              <w:t>Daniel J. O’Connor</w:t>
            </w:r>
          </w:p>
        </w:tc>
      </w:tr>
      <w:tr>
        <w:trPr/>
        <w:tc>
          <w:tcPr>
            <w:tcW w:w="137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sz w:val="20"/>
              </w:rPr>
            </w:pPr>
            <w:r>
              <w:rPr>
                <w:sz w:val="20"/>
              </w:rPr>
              <w:t>Title:</w:t>
            </w:r>
          </w:p>
        </w:tc>
        <w:tc>
          <w:tcPr>
            <w:tcW w:w="2392" w:type="dxa"/>
            <w:tcBorders/>
            <w:shd w:fill="auto" w:val="clear"/>
            <w:vAlign w:val="center"/>
          </w:tcPr>
          <w:p>
            <w:pPr>
              <w:pStyle w:val="TableContents"/>
              <w:spacing w:before="0" w:after="283"/>
              <w:rPr>
                <w:sz w:val="20"/>
              </w:rPr>
            </w:pPr>
            <w:r>
              <w:rPr>
                <w:sz w:val="20"/>
              </w:rPr>
              <w:t>Chief Executive Officer</w:t>
              <w:br/>
              <w:t>(Principal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TextBody"/>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1" w:name="f10q0322ex31-1_larkspur.htm"/>
      <w:bookmarkStart w:id="22" w:name="ksf10q0322ex311_larkspur"/>
      <w:bookmarkEnd w:id="21"/>
      <w:bookmarkEnd w:id="22"/>
      <w:r>
        <w:rPr>
          <w:rFonts w:ascii="Times New Roman;Times;Serif" w:hAnsi="Times New Roman;Times;Serif"/>
          <w:b/>
          <w:i w:val="false"/>
          <w:caps w:val="false"/>
          <w:smallCaps w:val="false"/>
          <w:sz w:val="20"/>
        </w:rPr>
        <w:t>Exhibit 31.1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RULES 13A-14(A)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15D-14(A) 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J. O’Connor, certify that:</w:t>
      </w:r>
    </w:p>
    <w:p>
      <w:pPr>
        <w:pStyle w:val="TextBody"/>
        <w:spacing w:before="0" w:after="0"/>
        <w:ind w:left="0" w:right="0" w:hanging="0"/>
        <w:rPr>
          <w:caps w:val="false"/>
          <w:smallCaps w:val="false"/>
        </w:rPr>
      </w:pPr>
      <w:r>
        <w:rPr>
          <w:caps w:val="false"/>
          <w:smallCaps w:val="false"/>
        </w:rPr>
        <w:t> </w:t>
      </w:r>
    </w:p>
    <w:p>
      <w:pPr>
        <w:pStyle w:val="TextBody"/>
        <w:pBdr/>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Larkspur Health Acquisition Corp.;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0"/>
        <w:gridCol w:w="9947"/>
      </w:tblGrid>
      <w:tr>
        <w:trPr/>
        <w:tc>
          <w:tcPr>
            <w:tcW w:w="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jc w:val="left"/>
              <w:rPr/>
            </w:pPr>
            <w:r>
              <w:rPr/>
              <w:t>(a)</w:t>
            </w:r>
          </w:p>
        </w:tc>
        <w:tc>
          <w:tcPr>
            <w:tcW w:w="9947"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jc w:val="left"/>
              <w:rPr/>
            </w:pPr>
            <w:r>
              <w:rPr/>
              <w:t>(b)</w:t>
            </w:r>
          </w:p>
        </w:tc>
        <w:tc>
          <w:tcPr>
            <w:tcW w:w="9932"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jc w:val="left"/>
              <w:rPr/>
            </w:pPr>
            <w:r>
              <w:rPr/>
              <w:t>(c)</w:t>
            </w:r>
          </w:p>
        </w:tc>
        <w:tc>
          <w:tcPr>
            <w:tcW w:w="9941"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jc w:val="left"/>
              <w:rPr/>
            </w:pPr>
            <w:r>
              <w:rPr/>
              <w:t>(d)</w:t>
            </w:r>
          </w:p>
        </w:tc>
        <w:tc>
          <w:tcPr>
            <w:tcW w:w="9932"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jc w:val="left"/>
              <w:rPr/>
            </w:pPr>
            <w:r>
              <w:rPr/>
              <w:t>(a)</w:t>
            </w:r>
          </w:p>
        </w:tc>
        <w:tc>
          <w:tcPr>
            <w:tcW w:w="9939"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pPr>
            <w:r>
              <w:rPr/>
              <w:t>(b)</w:t>
            </w:r>
          </w:p>
        </w:tc>
        <w:tc>
          <w:tcPr>
            <w:tcW w:w="9908"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rPr/>
      </w:pPr>
      <w:r>
        <w:rPr/>
        <w:t> </w:t>
      </w:r>
    </w:p>
    <w:tbl>
      <w:tblPr>
        <w:tblW w:w="2435" w:type="dxa"/>
        <w:jc w:val="left"/>
        <w:tblInd w:w="0" w:type="dxa"/>
        <w:tblCellMar>
          <w:top w:w="0" w:type="dxa"/>
          <w:left w:w="0" w:type="dxa"/>
          <w:bottom w:w="0" w:type="dxa"/>
          <w:right w:w="0" w:type="dxa"/>
        </w:tblCellMar>
      </w:tblPr>
      <w:tblGrid>
        <w:gridCol w:w="75"/>
        <w:gridCol w:w="2360"/>
      </w:tblGrid>
      <w:tr>
        <w:trPr/>
        <w:tc>
          <w:tcPr>
            <w:tcW w:w="75" w:type="dxa"/>
            <w:tcBorders/>
            <w:shd w:fill="auto" w:val="clear"/>
            <w:vAlign w:val="center"/>
          </w:tcPr>
          <w:p>
            <w:pPr>
              <w:pStyle w:val="TableContents"/>
              <w:spacing w:before="0" w:after="283"/>
              <w:rPr/>
            </w:pPr>
            <w:r>
              <w:rPr/>
              <w:t> </w:t>
            </w:r>
          </w:p>
        </w:tc>
        <w:tc>
          <w:tcPr>
            <w:tcW w:w="236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Daniel J. O’Connor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Daniel J. O’Connor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(Principal Executive Officer)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May 12, 2022</w:t>
            </w:r>
          </w:p>
        </w:tc>
      </w:tr>
    </w:tbl>
    <w:p>
      <w:pPr>
        <w:pStyle w:val="TextBody"/>
        <w:rPr/>
      </w:pPr>
      <w:r>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3" w:name="f10q0322ex31-2_larkspur.htm"/>
      <w:bookmarkStart w:id="24" w:name="ksf10q0322ex312_larkspur"/>
      <w:bookmarkEnd w:id="23"/>
      <w:bookmarkEnd w:id="24"/>
      <w:r>
        <w:rPr>
          <w:rFonts w:ascii="Times New Roman;Times;Serif" w:hAnsi="Times New Roman;Times;Serif"/>
          <w:b/>
          <w:i w:val="false"/>
          <w:caps w:val="false"/>
          <w:smallCaps w:val="false"/>
          <w:sz w:val="20"/>
        </w:rPr>
        <w:t>Exhibit 31.2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 RULES 13A-14(A)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15D-14(A) 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S. Briones, certify that: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Larkspur Health Acquisition Corp.;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0"/>
        <w:gridCol w:w="9947"/>
      </w:tblGrid>
      <w:tr>
        <w:trPr/>
        <w:tc>
          <w:tcPr>
            <w:tcW w:w="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jc w:val="left"/>
              <w:rPr/>
            </w:pPr>
            <w:r>
              <w:rPr/>
              <w:t>(a)</w:t>
            </w:r>
          </w:p>
        </w:tc>
        <w:tc>
          <w:tcPr>
            <w:tcW w:w="9947"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jc w:val="left"/>
              <w:rPr/>
            </w:pPr>
            <w:r>
              <w:rPr/>
              <w:t>(b)</w:t>
            </w:r>
          </w:p>
        </w:tc>
        <w:tc>
          <w:tcPr>
            <w:tcW w:w="9932"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jc w:val="left"/>
              <w:rPr/>
            </w:pPr>
            <w:r>
              <w:rPr/>
              <w:t>(c)</w:t>
            </w:r>
          </w:p>
        </w:tc>
        <w:tc>
          <w:tcPr>
            <w:tcW w:w="9941"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jc w:val="left"/>
              <w:rPr/>
            </w:pPr>
            <w:r>
              <w:rPr/>
              <w:t>(d)</w:t>
            </w:r>
          </w:p>
        </w:tc>
        <w:tc>
          <w:tcPr>
            <w:tcW w:w="9932"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jc w:val="left"/>
              <w:rPr/>
            </w:pPr>
            <w:r>
              <w:rPr/>
              <w:t>(a)</w:t>
            </w:r>
          </w:p>
        </w:tc>
        <w:tc>
          <w:tcPr>
            <w:tcW w:w="9939" w:type="dxa"/>
            <w:tcBorders/>
            <w:shd w:fill="auto" w:val="clear"/>
            <w:vAlign w:val="center"/>
          </w:tcPr>
          <w:p>
            <w:pPr>
              <w:pStyle w:val="TableContents"/>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jc w:val="left"/>
              <w:rPr/>
            </w:pPr>
            <w:r>
              <w:rPr/>
              <w:t>(b)</w:t>
            </w:r>
          </w:p>
        </w:tc>
        <w:tc>
          <w:tcPr>
            <w:tcW w:w="9908"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2375" w:type="dxa"/>
        <w:jc w:val="left"/>
        <w:tblInd w:w="0" w:type="dxa"/>
        <w:tblCellMar>
          <w:top w:w="0" w:type="dxa"/>
          <w:left w:w="0" w:type="dxa"/>
          <w:bottom w:w="0" w:type="dxa"/>
          <w:right w:w="0" w:type="dxa"/>
        </w:tblCellMar>
      </w:tblPr>
      <w:tblGrid>
        <w:gridCol w:w="75"/>
        <w:gridCol w:w="2300"/>
      </w:tblGrid>
      <w:tr>
        <w:trPr/>
        <w:tc>
          <w:tcPr>
            <w:tcW w:w="75" w:type="dxa"/>
            <w:tcBorders/>
            <w:shd w:fill="auto" w:val="clear"/>
            <w:vAlign w:val="center"/>
          </w:tcPr>
          <w:p>
            <w:pPr>
              <w:pStyle w:val="TableContents"/>
              <w:spacing w:before="0" w:after="283"/>
              <w:rPr/>
            </w:pPr>
            <w:r>
              <w:rPr/>
              <w:t> </w:t>
            </w:r>
          </w:p>
        </w:tc>
        <w:tc>
          <w:tcPr>
            <w:tcW w:w="230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David S. Briones</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David S. Briones</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Chief Financial Officer</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(Principal Financial Officer)</w:t>
            </w:r>
          </w:p>
        </w:tc>
      </w:tr>
      <w:tr>
        <w:trPr/>
        <w:tc>
          <w:tcPr>
            <w:tcW w:w="75"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283"/>
              <w:rPr>
                <w:sz w:val="20"/>
              </w:rPr>
            </w:pPr>
            <w:r>
              <w:rPr>
                <w:sz w:val="20"/>
              </w:rPr>
              <w:t>May 12, 2022</w:t>
            </w:r>
          </w:p>
        </w:tc>
      </w:tr>
    </w:tbl>
    <w:p>
      <w:pPr>
        <w:pStyle w:val="TextBody"/>
        <w:spacing w:before="0" w:after="0"/>
        <w:ind w:left="0" w:right="0" w:hanging="0"/>
        <w:jc w:val="right"/>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5" w:name="f10q0322ex32-1_larkspur.htm"/>
      <w:bookmarkStart w:id="26" w:name="ksf10q0322ex321_larkspur"/>
      <w:bookmarkEnd w:id="25"/>
      <w:bookmarkEnd w:id="26"/>
      <w:r>
        <w:rPr>
          <w:rFonts w:ascii="Times New Roman;Times;Serif" w:hAnsi="Times New Roman;Times;Serif"/>
          <w:b/>
          <w:i w:val="false"/>
          <w:caps w:val="false"/>
          <w:smallCaps w:val="false"/>
          <w:sz w:val="20"/>
        </w:rPr>
        <w:t>Exhibit 32.1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Larkspur Health Acquisition Corp. (the “Company”) for the quarter ended March 31, 2022, as filed with the Securities and Exchange Commission (the “Report”), I, Daniel J. O’Connor, Chief Executive Officer of the Company, certify, pursuant to 18 U.S.C. §1350, as adopted pursuant to Section 906 of the Sarbanes-Oxley Act of 2002,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192"/>
        <w:gridCol w:w="9939"/>
      </w:tblGrid>
      <w:tr>
        <w:trPr/>
        <w:tc>
          <w:tcPr>
            <w:tcW w:w="7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pPr>
            <w:r>
              <w:rPr/>
              <w:t>1.</w:t>
            </w:r>
          </w:p>
        </w:tc>
        <w:tc>
          <w:tcPr>
            <w:tcW w:w="9939" w:type="dxa"/>
            <w:tcBorders/>
            <w:shd w:fill="auto" w:val="clear"/>
            <w:vAlign w:val="center"/>
          </w:tcPr>
          <w:p>
            <w:pPr>
              <w:pStyle w:val="TableContents"/>
              <w:spacing w:before="0" w:after="283"/>
              <w:rPr/>
            </w:pPr>
            <w:r>
              <w:rPr/>
              <w:t>the Report fully complies with the requirements of Section 13(a) or 15(d) of the Securities Exchange Act of 1934; and</w:t>
            </w:r>
          </w:p>
        </w:tc>
      </w:tr>
      <w:tr>
        <w:trPr/>
        <w:tc>
          <w:tcPr>
            <w:tcW w:w="74"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939"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
        <w:gridCol w:w="182"/>
        <w:gridCol w:w="9986"/>
      </w:tblGrid>
      <w:tr>
        <w:trPr/>
        <w:tc>
          <w:tcPr>
            <w:tcW w:w="3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pPr>
            <w:r>
              <w:rPr/>
              <w:t>2.</w:t>
            </w:r>
          </w:p>
        </w:tc>
        <w:tc>
          <w:tcPr>
            <w:tcW w:w="9986" w:type="dxa"/>
            <w:tcBorders/>
            <w:shd w:fill="auto" w:val="clear"/>
            <w:vAlign w:val="center"/>
          </w:tcPr>
          <w:p>
            <w:pPr>
              <w:pStyle w:val="TableContents"/>
              <w:spacing w:before="0" w:after="283"/>
              <w:rPr/>
            </w:pPr>
            <w:r>
              <w:rPr/>
              <w:t>the information contained in the Report fairly presents, in all material respects, the financial condition and results of operations of the Company. </w:t>
            </w:r>
          </w:p>
        </w:tc>
      </w:tr>
    </w:tbl>
    <w:p>
      <w:pPr>
        <w:pStyle w:val="TextBody"/>
        <w:spacing w:before="0" w:after="0"/>
        <w:ind w:left="0" w:right="0" w:hanging="0"/>
        <w:rPr>
          <w:caps w:val="false"/>
          <w:smallCaps w:val="false"/>
        </w:rPr>
      </w:pPr>
      <w:r>
        <w:rPr>
          <w:caps w:val="false"/>
          <w:smallCaps w:val="false"/>
        </w:rPr>
        <w:t> </w:t>
      </w:r>
    </w:p>
    <w:tbl>
      <w:tblPr>
        <w:tblW w:w="2435" w:type="dxa"/>
        <w:jc w:val="left"/>
        <w:tblInd w:w="0" w:type="dxa"/>
        <w:tblCellMar>
          <w:top w:w="0" w:type="dxa"/>
          <w:left w:w="0" w:type="dxa"/>
          <w:bottom w:w="0" w:type="dxa"/>
          <w:right w:w="0" w:type="dxa"/>
        </w:tblCellMar>
      </w:tblPr>
      <w:tblGrid>
        <w:gridCol w:w="75"/>
        <w:gridCol w:w="2360"/>
      </w:tblGrid>
      <w:tr>
        <w:trPr/>
        <w:tc>
          <w:tcPr>
            <w:tcW w:w="75" w:type="dxa"/>
            <w:tcBorders/>
            <w:shd w:fill="auto" w:val="clear"/>
            <w:vAlign w:val="center"/>
          </w:tcPr>
          <w:p>
            <w:pPr>
              <w:pStyle w:val="TableContents"/>
              <w:spacing w:before="0" w:after="283"/>
              <w:rPr/>
            </w:pPr>
            <w:r>
              <w:rPr/>
              <w:t> </w:t>
            </w:r>
          </w:p>
        </w:tc>
        <w:tc>
          <w:tcPr>
            <w:tcW w:w="236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Daniel J. O’Connor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Daniel J. O’Connor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(Principal Executive Officer)</w:t>
            </w:r>
          </w:p>
        </w:tc>
      </w:tr>
      <w:tr>
        <w:trPr/>
        <w:tc>
          <w:tcPr>
            <w:tcW w:w="7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sz w:val="20"/>
              </w:rPr>
            </w:pPr>
            <w:r>
              <w:rPr>
                <w:sz w:val="20"/>
              </w:rPr>
              <w:t>May 12, 2022</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7" w:name="f10q0322ex32-2_larkspur.htm"/>
      <w:bookmarkStart w:id="28" w:name="ksf10q0322ex322_larkspur"/>
      <w:bookmarkEnd w:id="27"/>
      <w:bookmarkEnd w:id="28"/>
      <w:r>
        <w:rPr>
          <w:rFonts w:ascii="Times New Roman;Times;Serif" w:hAnsi="Times New Roman;Times;Serif"/>
          <w:b/>
          <w:i w:val="false"/>
          <w:caps w:val="false"/>
          <w:smallCaps w:val="false"/>
          <w:sz w:val="20"/>
        </w:rPr>
        <w:t>Exhibit 32.2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Larkspur Health Acquisition Corp. (the “Company”) for the quarter ended March 31, 2022, as filed with the Securities and Exchange Commission (the “Report”), I, David S. Briones, Chief Financial Officer of the Company, certify, pursuant to 18 U.S.C. §1350, as adopted pursuant to Section 906 of the Sarbanes-Oxley Act of 2002, that: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4"/>
        <w:gridCol w:w="192"/>
        <w:gridCol w:w="9939"/>
      </w:tblGrid>
      <w:tr>
        <w:trPr/>
        <w:tc>
          <w:tcPr>
            <w:tcW w:w="7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pPr>
            <w:r>
              <w:rPr/>
              <w:t>1.</w:t>
            </w:r>
          </w:p>
        </w:tc>
        <w:tc>
          <w:tcPr>
            <w:tcW w:w="9939" w:type="dxa"/>
            <w:tcBorders/>
            <w:shd w:fill="auto" w:val="clear"/>
            <w:vAlign w:val="center"/>
          </w:tcPr>
          <w:p>
            <w:pPr>
              <w:pStyle w:val="TableContents"/>
              <w:spacing w:before="0" w:after="283"/>
              <w:rPr/>
            </w:pPr>
            <w:r>
              <w:rPr/>
              <w:t>the Report fully complies with the requirements of Section 13(a) or 15(d) of the Securities Exchange Act of 1934; and</w:t>
            </w:r>
          </w:p>
        </w:tc>
      </w:tr>
      <w:tr>
        <w:trPr/>
        <w:tc>
          <w:tcPr>
            <w:tcW w:w="74" w:type="dxa"/>
            <w:tcBorders/>
            <w:shd w:fill="auto" w:val="clear"/>
            <w:vAlign w:val="center"/>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c>
          <w:tcPr>
            <w:tcW w:w="9939"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
        <w:gridCol w:w="182"/>
        <w:gridCol w:w="9986"/>
      </w:tblGrid>
      <w:tr>
        <w:trPr/>
        <w:tc>
          <w:tcPr>
            <w:tcW w:w="3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pPr>
            <w:r>
              <w:rPr/>
              <w:t>2.</w:t>
            </w:r>
          </w:p>
        </w:tc>
        <w:tc>
          <w:tcPr>
            <w:tcW w:w="9986" w:type="dxa"/>
            <w:tcBorders/>
            <w:shd w:fill="auto" w:val="clear"/>
            <w:vAlign w:val="center"/>
          </w:tcPr>
          <w:p>
            <w:pPr>
              <w:pStyle w:val="TableContents"/>
              <w:spacing w:before="0" w:after="283"/>
              <w:rPr/>
            </w:pPr>
            <w:r>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2420" w:type="dxa"/>
        <w:jc w:val="left"/>
        <w:tblInd w:w="0" w:type="dxa"/>
        <w:tblCellMar>
          <w:top w:w="0" w:type="dxa"/>
          <w:left w:w="0" w:type="dxa"/>
          <w:bottom w:w="0" w:type="dxa"/>
          <w:right w:w="0" w:type="dxa"/>
        </w:tblCellMar>
      </w:tblPr>
      <w:tblGrid>
        <w:gridCol w:w="75"/>
        <w:gridCol w:w="2345"/>
      </w:tblGrid>
      <w:tr>
        <w:trPr/>
        <w:tc>
          <w:tcPr>
            <w:tcW w:w="75" w:type="dxa"/>
            <w:tcBorders/>
            <w:shd w:fill="auto" w:val="clear"/>
            <w:vAlign w:val="center"/>
          </w:tcPr>
          <w:p>
            <w:pPr>
              <w:pStyle w:val="TableContents"/>
              <w:spacing w:before="0" w:after="283"/>
              <w:rPr/>
            </w:pPr>
            <w:r>
              <w:rPr/>
              <w:t> </w:t>
            </w:r>
          </w:p>
        </w:tc>
        <w:tc>
          <w:tcPr>
            <w:tcW w:w="2345" w:type="dxa"/>
            <w:tcBorders>
              <w:bottom w:val="single" w:sz="12" w:space="0" w:color="000000"/>
            </w:tcBorders>
            <w:shd w:fill="auto" w:val="clear"/>
            <w:tcMar>
              <w:bottom w:w="28" w:type="dxa"/>
            </w:tcMar>
            <w:vAlign w:val="center"/>
          </w:tcPr>
          <w:p>
            <w:pPr>
              <w:pStyle w:val="TableContents"/>
              <w:spacing w:before="0" w:after="283"/>
              <w:rPr>
                <w:sz w:val="20"/>
              </w:rPr>
            </w:pPr>
            <w:r>
              <w:rPr>
                <w:sz w:val="20"/>
              </w:rPr>
              <w:t xml:space="preserve">/s/ David S. Briones </w:t>
            </w:r>
          </w:p>
        </w:tc>
      </w:tr>
      <w:tr>
        <w:trPr/>
        <w:tc>
          <w:tcPr>
            <w:tcW w:w="7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sz w:val="20"/>
              </w:rPr>
            </w:pPr>
            <w:r>
              <w:rPr>
                <w:sz w:val="20"/>
              </w:rPr>
              <w:t>David S. Briones</w:t>
            </w:r>
          </w:p>
        </w:tc>
      </w:tr>
      <w:tr>
        <w:trPr/>
        <w:tc>
          <w:tcPr>
            <w:tcW w:w="7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sz w:val="20"/>
              </w:rPr>
            </w:pPr>
            <w:r>
              <w:rPr>
                <w:sz w:val="20"/>
              </w:rPr>
              <w:t xml:space="preserve">Chief Financial Officer </w:t>
            </w:r>
          </w:p>
        </w:tc>
      </w:tr>
      <w:tr>
        <w:trPr/>
        <w:tc>
          <w:tcPr>
            <w:tcW w:w="7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sz w:val="20"/>
              </w:rPr>
            </w:pPr>
            <w:r>
              <w:rPr>
                <w:sz w:val="20"/>
              </w:rPr>
              <w:t xml:space="preserve">(Principal Financial Officer) </w:t>
            </w:r>
          </w:p>
        </w:tc>
      </w:tr>
      <w:tr>
        <w:trPr/>
        <w:tc>
          <w:tcPr>
            <w:tcW w:w="7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283"/>
              <w:rPr>
                <w:sz w:val="20"/>
              </w:rPr>
            </w:pPr>
            <w:r>
              <w:rPr>
                <w:sz w:val="20"/>
              </w:rPr>
              <w:t>May 12, 2022</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15713</Words>
  <CharactersWithSpaces>100455</CharactersWithSpaces>
  <Paragraphs>2151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