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1160" w:hanging="212"/>
        <w:spacing w:after="0"/>
        <w:tabs>
          <w:tab w:leader="none" w:pos="11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3680" w:right="940" w:hanging="2739"/>
        <w:spacing w:after="0" w:line="500" w:lineRule="auto"/>
        <w:tabs>
          <w:tab w:leader="none" w:pos="113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For the transition period from _______ to </w:t>
      </w:r>
      <w:r>
        <w:rPr>
          <w:rFonts w:ascii="Times New Roman" w:cs="Times New Roman" w:eastAsia="Times New Roman" w:hAnsi="Times New Roman"/>
          <w:sz w:val="18"/>
          <w:szCs w:val="18"/>
          <w:color w:val="auto"/>
        </w:rPr>
        <w:t>_______</w:t>
      </w:r>
    </w:p>
    <w:p>
      <w:pPr>
        <w:spacing w:after="0" w:line="1"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001-41184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ZYVERSA THERAPEUTICS,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260" w:type="dxa"/>
        <w:tblCellMar>
          <w:top w:w="0" w:type="dxa"/>
          <w:left w:w="0" w:type="dxa"/>
          <w:bottom w:w="0" w:type="dxa"/>
          <w:right w:w="0" w:type="dxa"/>
        </w:tblCellMar>
      </w:tblPr>
      <w:tr>
        <w:trPr>
          <w:trHeight w:val="220"/>
        </w:trPr>
        <w:tc>
          <w:tcPr>
            <w:tcW w:w="6400" w:type="dxa"/>
            <w:vAlign w:val="bottom"/>
          </w:tcPr>
          <w:p>
            <w:pPr>
              <w:jc w:val="center"/>
              <w:ind w:right="33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5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86-2685744</w:t>
            </w:r>
          </w:p>
        </w:tc>
      </w:tr>
      <w:tr>
        <w:trPr>
          <w:trHeight w:val="216"/>
        </w:trPr>
        <w:tc>
          <w:tcPr>
            <w:tcW w:w="6400" w:type="dxa"/>
            <w:vAlign w:val="bottom"/>
          </w:tcPr>
          <w:p>
            <w:pPr>
              <w:jc w:val="center"/>
              <w:ind w:right="331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1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400" w:type="dxa"/>
            <w:vAlign w:val="bottom"/>
          </w:tcPr>
          <w:p>
            <w:pPr>
              <w:jc w:val="center"/>
              <w:ind w:right="331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1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6400" w:type="dxa"/>
            <w:vAlign w:val="bottom"/>
          </w:tcPr>
          <w:p>
            <w:pPr>
              <w:jc w:val="center"/>
              <w:ind w:right="3310"/>
              <w:spacing w:after="0"/>
              <w:rPr>
                <w:sz w:val="20"/>
                <w:szCs w:val="20"/>
                <w:color w:val="auto"/>
              </w:rPr>
            </w:pPr>
            <w:r>
              <w:rPr>
                <w:rFonts w:ascii="Times New Roman" w:cs="Times New Roman" w:eastAsia="Times New Roman" w:hAnsi="Times New Roman"/>
                <w:sz w:val="18"/>
                <w:szCs w:val="18"/>
                <w:b w:val="1"/>
                <w:bCs w:val="1"/>
                <w:color w:val="auto"/>
              </w:rPr>
              <w:t>2200 N. Commerce Parkway, Suite 208</w:t>
            </w:r>
          </w:p>
        </w:tc>
        <w:tc>
          <w:tcPr>
            <w:tcW w:w="1500" w:type="dxa"/>
            <w:vAlign w:val="bottom"/>
          </w:tcPr>
          <w:p>
            <w:pPr>
              <w:spacing w:after="0"/>
              <w:rPr>
                <w:sz w:val="24"/>
                <w:szCs w:val="24"/>
                <w:color w:val="auto"/>
              </w:rPr>
            </w:pPr>
          </w:p>
        </w:tc>
      </w:tr>
      <w:tr>
        <w:trPr>
          <w:trHeight w:val="220"/>
        </w:trPr>
        <w:tc>
          <w:tcPr>
            <w:tcW w:w="6400" w:type="dxa"/>
            <w:vAlign w:val="bottom"/>
          </w:tcPr>
          <w:p>
            <w:pPr>
              <w:jc w:val="center"/>
              <w:ind w:right="3310"/>
              <w:spacing w:after="0"/>
              <w:rPr>
                <w:sz w:val="20"/>
                <w:szCs w:val="20"/>
                <w:color w:val="auto"/>
              </w:rPr>
            </w:pPr>
            <w:r>
              <w:rPr>
                <w:rFonts w:ascii="Times New Roman" w:cs="Times New Roman" w:eastAsia="Times New Roman" w:hAnsi="Times New Roman"/>
                <w:sz w:val="18"/>
                <w:szCs w:val="18"/>
                <w:b w:val="1"/>
                <w:bCs w:val="1"/>
                <w:color w:val="auto"/>
                <w:w w:val="97"/>
              </w:rPr>
              <w:t>Weston, FL</w:t>
            </w:r>
          </w:p>
        </w:tc>
        <w:tc>
          <w:tcPr>
            <w:tcW w:w="15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33326</w:t>
            </w:r>
          </w:p>
        </w:tc>
      </w:tr>
      <w:tr>
        <w:trPr>
          <w:trHeight w:val="234"/>
        </w:trPr>
        <w:tc>
          <w:tcPr>
            <w:tcW w:w="6400" w:type="dxa"/>
            <w:vAlign w:val="bottom"/>
          </w:tcPr>
          <w:p>
            <w:pPr>
              <w:jc w:val="center"/>
              <w:ind w:right="33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6400" w:type="dxa"/>
            <w:vAlign w:val="bottom"/>
          </w:tcPr>
          <w:p>
            <w:pPr>
              <w:jc w:val="right"/>
              <w:ind w:right="1410"/>
              <w:spacing w:after="0"/>
              <w:rPr>
                <w:sz w:val="20"/>
                <w:szCs w:val="20"/>
                <w:color w:val="auto"/>
              </w:rPr>
            </w:pPr>
            <w:r>
              <w:rPr>
                <w:rFonts w:ascii="Times New Roman" w:cs="Times New Roman" w:eastAsia="Times New Roman" w:hAnsi="Times New Roman"/>
                <w:sz w:val="18"/>
                <w:szCs w:val="18"/>
                <w:b w:val="1"/>
                <w:bCs w:val="1"/>
                <w:color w:val="auto"/>
              </w:rPr>
              <w:t>(754) 231-1688</w:t>
            </w:r>
          </w:p>
        </w:tc>
        <w:tc>
          <w:tcPr>
            <w:tcW w:w="1500" w:type="dxa"/>
            <w:vAlign w:val="bottom"/>
          </w:tcPr>
          <w:p>
            <w:pPr>
              <w:spacing w:after="0"/>
              <w:rPr>
                <w:sz w:val="24"/>
                <w:szCs w:val="24"/>
                <w:color w:val="auto"/>
              </w:rPr>
            </w:pPr>
          </w:p>
        </w:tc>
      </w:tr>
      <w:tr>
        <w:trPr>
          <w:trHeight w:val="234"/>
        </w:trPr>
        <w:tc>
          <w:tcPr>
            <w:tcW w:w="640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5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80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2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ZVSA</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414"/>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4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Accelerated filer</w:t>
            </w:r>
          </w:p>
        </w:tc>
        <w:tc>
          <w:tcPr>
            <w:tcW w:w="19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4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0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 11, 2024, the number of shares outstanding of the registrant’s common stock, $0.0001 par value per share, was 2,344,191.</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indicated, all share and per share information in this Quarterly Report on Form 10-Q gives effect to the reverse stock split of the registrant’s outstanding common stock at a ratio of one-for-ten shares, which was effected as of 4:01 p.m. Eastern Time on April 25, 2024.</w:t>
      </w:r>
    </w:p>
    <w:p>
      <w:pPr>
        <w:sectPr>
          <w:pgSz w:w="11900" w:h="16838" w:orient="portrait"/>
          <w:cols w:equalWidth="0" w:num="1">
            <w:col w:w="11240"/>
          </w:cols>
          <w:pgMar w:left="320" w:top="740" w:right="339" w:bottom="0" w:gutter="0" w:footer="0" w:header="0"/>
        </w:sectPr>
      </w:pPr>
    </w:p>
    <w:bookmarkStart w:id="1" w:name="page2"/>
    <w:bookmarkEnd w:id="1"/>
    <w:p>
      <w:pPr>
        <w:jc w:val="both"/>
        <w:spacing w:after="0" w:line="28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577850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CONDENSED CONSOLIDATED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2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PART I FINANCIAL INFORMATION</w:t>
            </w:r>
          </w:p>
        </w:tc>
        <w:tc>
          <w:tcPr>
            <w:tcW w:w="96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1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 Financial Statements</w:t>
            </w:r>
          </w:p>
        </w:tc>
        <w:tc>
          <w:tcPr>
            <w:tcW w:w="960" w:type="dxa"/>
            <w:vAlign w:val="bottom"/>
            <w:shd w:val="clear" w:color="auto" w:fill="CCEEFF"/>
          </w:tcPr>
          <w:p>
            <w:pPr>
              <w:jc w:val="center"/>
              <w:ind w:left="23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9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September 30, 2024 (unaudited) and December 31, 2023</w:t>
            </w:r>
          </w:p>
        </w:tc>
        <w:tc>
          <w:tcPr>
            <w:tcW w:w="960" w:type="dxa"/>
            <w:vAlign w:val="bottom"/>
            <w:shd w:val="clear" w:color="auto" w:fill="CCEEFF"/>
          </w:tcPr>
          <w:p>
            <w:pPr>
              <w:jc w:val="center"/>
              <w:ind w:left="23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9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Operations for the Three and Nine Months Ended September 30, 2024 and 2023</w:t>
            </w:r>
          </w:p>
        </w:tc>
        <w:tc>
          <w:tcPr>
            <w:tcW w:w="960" w:type="dxa"/>
            <w:vAlign w:val="bottom"/>
            <w:shd w:val="clear" w:color="auto" w:fill="CCEEFF"/>
          </w:tcPr>
          <w:p>
            <w:pPr>
              <w:jc w:val="center"/>
              <w:ind w:left="23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75"/>
        </w:trPr>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92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Changes in Stockholders’ Equity for the Three and Nine Months Ended September 30,</w:t>
            </w:r>
          </w:p>
        </w:tc>
        <w:tc>
          <w:tcPr>
            <w:tcW w:w="960" w:type="dxa"/>
            <w:vAlign w:val="bottom"/>
            <w:tcBorders>
              <w:bottom w:val="single" w:sz="8" w:color="CCEEFF"/>
            </w:tcBorders>
            <w:shd w:val="clear" w:color="auto" w:fill="CCEEFF"/>
          </w:tcPr>
          <w:p>
            <w:pPr>
              <w:spacing w:after="0"/>
              <w:rPr>
                <w:sz w:val="15"/>
                <w:szCs w:val="15"/>
                <w:color w:val="auto"/>
              </w:rPr>
            </w:pPr>
          </w:p>
        </w:tc>
      </w:tr>
      <w:tr>
        <w:trPr>
          <w:trHeight w:val="217"/>
        </w:trPr>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920" w:type="dxa"/>
            <w:vAlign w:val="bottom"/>
            <w:gridSpan w:val="1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2024 and 2023</w:t>
            </w:r>
          </w:p>
        </w:tc>
        <w:tc>
          <w:tcPr>
            <w:tcW w:w="960" w:type="dxa"/>
            <w:vAlign w:val="bottom"/>
            <w:shd w:val="clear" w:color="auto" w:fill="CCEEFF"/>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9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Nine Months Ended September 30, 2024 and 2023</w:t>
            </w:r>
          </w:p>
        </w:tc>
        <w:tc>
          <w:tcPr>
            <w:tcW w:w="960" w:type="dxa"/>
            <w:vAlign w:val="bottom"/>
            <w:shd w:val="clear" w:color="auto" w:fill="CCEEFF"/>
          </w:tcPr>
          <w:p>
            <w:pPr>
              <w:jc w:val="center"/>
              <w:ind w:left="23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9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960" w:type="dxa"/>
            <w:vAlign w:val="bottom"/>
            <w:shd w:val="clear" w:color="auto" w:fill="CCEEFF"/>
          </w:tcPr>
          <w:p>
            <w:pPr>
              <w:jc w:val="center"/>
              <w:ind w:left="23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1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960" w:type="dxa"/>
            <w:vAlign w:val="bottom"/>
            <w:shd w:val="clear" w:color="auto" w:fill="CCEEFF"/>
          </w:tcPr>
          <w:p>
            <w:pPr>
              <w:jc w:val="center"/>
              <w:ind w:left="210"/>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1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960" w:type="dxa"/>
            <w:vAlign w:val="bottom"/>
            <w:shd w:val="clear" w:color="auto" w:fill="CCEEFF"/>
          </w:tcPr>
          <w:p>
            <w:pPr>
              <w:jc w:val="center"/>
              <w:ind w:left="210"/>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1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960" w:type="dxa"/>
            <w:vAlign w:val="bottom"/>
            <w:shd w:val="clear" w:color="auto" w:fill="CCEEFF"/>
          </w:tcPr>
          <w:p>
            <w:pPr>
              <w:jc w:val="center"/>
              <w:ind w:left="210"/>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102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960" w:type="dxa"/>
            <w:vAlign w:val="bottom"/>
            <w:shd w:val="clear" w:color="auto" w:fill="CCEEFF"/>
          </w:tcPr>
          <w:p>
            <w:pPr>
              <w:jc w:val="center"/>
              <w:ind w:left="210"/>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1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 Legal Proceedings.</w:t>
            </w:r>
          </w:p>
        </w:tc>
        <w:tc>
          <w:tcPr>
            <w:tcW w:w="960" w:type="dxa"/>
            <w:vAlign w:val="bottom"/>
            <w:shd w:val="clear" w:color="auto" w:fill="CCEEFF"/>
          </w:tcPr>
          <w:p>
            <w:pPr>
              <w:jc w:val="center"/>
              <w:ind w:left="210"/>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1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1A. Risk Factors.</w:t>
            </w:r>
          </w:p>
        </w:tc>
        <w:tc>
          <w:tcPr>
            <w:tcW w:w="960" w:type="dxa"/>
            <w:vAlign w:val="bottom"/>
            <w:shd w:val="clear" w:color="auto" w:fill="CCEEFF"/>
          </w:tcPr>
          <w:p>
            <w:pPr>
              <w:jc w:val="center"/>
              <w:ind w:left="210"/>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1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960" w:type="dxa"/>
            <w:vAlign w:val="bottom"/>
            <w:shd w:val="clear" w:color="auto" w:fill="CCEEFF"/>
          </w:tcPr>
          <w:p>
            <w:pPr>
              <w:jc w:val="center"/>
              <w:ind w:left="210"/>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1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Defaults Upon Senior Securities.</w:t>
            </w:r>
          </w:p>
        </w:tc>
        <w:tc>
          <w:tcPr>
            <w:tcW w:w="960" w:type="dxa"/>
            <w:vAlign w:val="bottom"/>
            <w:shd w:val="clear" w:color="auto" w:fill="CCEEFF"/>
          </w:tcPr>
          <w:p>
            <w:pPr>
              <w:jc w:val="center"/>
              <w:ind w:left="210"/>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1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960" w:type="dxa"/>
            <w:vAlign w:val="bottom"/>
            <w:shd w:val="clear" w:color="auto" w:fill="CCEEFF"/>
          </w:tcPr>
          <w:p>
            <w:pPr>
              <w:jc w:val="center"/>
              <w:ind w:left="210"/>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1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 Other Information.</w:t>
            </w:r>
          </w:p>
        </w:tc>
        <w:tc>
          <w:tcPr>
            <w:tcW w:w="960" w:type="dxa"/>
            <w:vAlign w:val="bottom"/>
            <w:shd w:val="clear" w:color="auto" w:fill="CCEEFF"/>
          </w:tcPr>
          <w:p>
            <w:pPr>
              <w:jc w:val="center"/>
              <w:ind w:left="210"/>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1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 Exhibits.</w:t>
            </w:r>
          </w:p>
        </w:tc>
        <w:tc>
          <w:tcPr>
            <w:tcW w:w="960" w:type="dxa"/>
            <w:vAlign w:val="bottom"/>
            <w:shd w:val="clear" w:color="auto" w:fill="CCEEFF"/>
          </w:tcPr>
          <w:p>
            <w:pPr>
              <w:jc w:val="center"/>
              <w:ind w:left="21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102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960" w:type="dxa"/>
            <w:vAlign w:val="bottom"/>
            <w:shd w:val="clear" w:color="auto" w:fill="CCEEFF"/>
          </w:tcPr>
          <w:p>
            <w:pPr>
              <w:jc w:val="center"/>
              <w:ind w:left="210"/>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432"/>
        </w:trPr>
        <w:tc>
          <w:tcPr>
            <w:tcW w:w="1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9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10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122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9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60" w:type="dxa"/>
            <w:vAlign w:val="bottom"/>
            <w:gridSpan w:val="3"/>
          </w:tcPr>
          <w:p>
            <w:pPr>
              <w:jc w:val="center"/>
              <w:ind w:left="391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260" w:type="dxa"/>
            <w:vAlign w:val="bottom"/>
            <w:gridSpan w:val="3"/>
          </w:tcPr>
          <w:p>
            <w:pPr>
              <w:jc w:val="center"/>
              <w:ind w:left="3890"/>
              <w:spacing w:after="0"/>
              <w:rPr>
                <w:sz w:val="20"/>
                <w:szCs w:val="20"/>
                <w:color w:val="auto"/>
              </w:rPr>
            </w:pPr>
            <w:r>
              <w:rPr>
                <w:rFonts w:ascii="Times New Roman" w:cs="Times New Roman" w:eastAsia="Times New Roman" w:hAnsi="Times New Roman"/>
                <w:sz w:val="18"/>
                <w:szCs w:val="18"/>
                <w:b w:val="1"/>
                <w:bCs w:val="1"/>
                <w:color w:val="auto"/>
                <w:w w:val="98"/>
              </w:rPr>
              <w:t>ZYVERSA THERAPEUTICS, INC.</w:t>
            </w: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200" w:type="dxa"/>
            <w:vAlign w:val="bottom"/>
            <w:gridSpan w:val="5"/>
          </w:tcPr>
          <w:p>
            <w:pPr>
              <w:jc w:val="center"/>
              <w:ind w:left="19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6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122,921</w:t>
            </w:r>
          </w:p>
        </w:tc>
        <w:tc>
          <w:tcPr>
            <w:tcW w:w="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3,137,674</w:t>
            </w:r>
          </w:p>
        </w:tc>
      </w:tr>
      <w:tr>
        <w:trPr>
          <w:trHeight w:val="229"/>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267,494</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215,459</w:t>
            </w:r>
          </w:p>
        </w:tc>
      </w:tr>
      <w:tr>
        <w:trPr>
          <w:trHeight w:val="210"/>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390,415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3,353,133</w:t>
            </w: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net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6,933</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18,647,903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18,647,903</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Vendor deposit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178,476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98,476</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207,130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7,839</w:t>
            </w:r>
          </w:p>
        </w:tc>
      </w:tr>
      <w:tr>
        <w:trPr>
          <w:trHeight w:val="263"/>
        </w:trPr>
        <w:tc>
          <w:tcPr>
            <w:tcW w:w="68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19,423,924</w:t>
            </w:r>
          </w:p>
        </w:tc>
        <w:tc>
          <w:tcPr>
            <w:tcW w:w="3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22,114,284</w:t>
            </w:r>
          </w:p>
        </w:tc>
        <w:tc>
          <w:tcPr>
            <w:tcW w:w="100" w:type="dxa"/>
            <w:vAlign w:val="bottom"/>
            <w:tcBorders>
              <w:bottom w:val="single" w:sz="8" w:color="CCEEFF"/>
            </w:tcBorders>
          </w:tcPr>
          <w:p>
            <w:pPr>
              <w:spacing w:after="0"/>
              <w:rPr>
                <w:sz w:val="22"/>
                <w:szCs w:val="22"/>
                <w:color w:val="auto"/>
              </w:rPr>
            </w:pPr>
          </w:p>
        </w:tc>
      </w:tr>
      <w:tr>
        <w:trPr>
          <w:trHeight w:val="197"/>
        </w:trPr>
        <w:tc>
          <w:tcPr>
            <w:tcW w:w="6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9,284,631</w:t>
            </w: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8,431,583</w:t>
            </w: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2,257,372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1,754,533</w:t>
            </w:r>
          </w:p>
        </w:tc>
      </w:tr>
      <w:tr>
        <w:trPr>
          <w:trHeight w:val="230"/>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8,656</w:t>
            </w:r>
          </w:p>
        </w:tc>
      </w:tr>
      <w:tr>
        <w:trPr>
          <w:trHeight w:val="209"/>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11,542,003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10,194,772</w:t>
            </w:r>
          </w:p>
        </w:tc>
        <w:tc>
          <w:tcPr>
            <w:tcW w:w="100" w:type="dxa"/>
            <w:vAlign w:val="bottom"/>
          </w:tcPr>
          <w:p>
            <w:pPr>
              <w:spacing w:after="0"/>
              <w:rPr>
                <w:sz w:val="18"/>
                <w:szCs w:val="18"/>
                <w:color w:val="auto"/>
              </w:rPr>
            </w:pPr>
          </w:p>
        </w:tc>
      </w:tr>
      <w:tr>
        <w:trPr>
          <w:trHeight w:val="23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854,621</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844,914</w:t>
            </w:r>
          </w:p>
        </w:tc>
      </w:tr>
      <w:tr>
        <w:trPr>
          <w:trHeight w:val="210"/>
        </w:trPr>
        <w:tc>
          <w:tcPr>
            <w:tcW w:w="68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12,396,624</w:t>
            </w:r>
          </w:p>
        </w:tc>
        <w:tc>
          <w:tcPr>
            <w:tcW w:w="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11,039,686</w:t>
            </w:r>
          </w:p>
        </w:tc>
        <w:tc>
          <w:tcPr>
            <w:tcW w:w="100" w:type="dxa"/>
            <w:vAlign w:val="bottom"/>
            <w:tcBorders>
              <w:bottom w:val="single" w:sz="8" w:color="CCEEFF"/>
            </w:tcBorders>
          </w:tcPr>
          <w:p>
            <w:pPr>
              <w:spacing w:after="0"/>
              <w:rPr>
                <w:sz w:val="18"/>
                <w:szCs w:val="18"/>
                <w:color w:val="auto"/>
              </w:rPr>
            </w:pPr>
          </w:p>
        </w:tc>
      </w:tr>
      <w:tr>
        <w:trPr>
          <w:trHeight w:val="210"/>
        </w:trPr>
        <w:tc>
          <w:tcPr>
            <w:tcW w:w="6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8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A preferred stock, 8,635 shares designated, 50 shares issued and outstanding as of</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September 30, 2024 and December 31, 2023, respectively</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B preferred stock, 5,062 shares designated, 5,062 shares issued and outstanding</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 of September 30, 2024 and December 31, 2023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198"/>
        </w:trPr>
        <w:tc>
          <w:tcPr>
            <w:tcW w:w="68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$0.0001 par value, 250,000,000 shares authorized; 1,074,203 and</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405,212 shares issued at September 30, 2024 and December 31, 2023, respectively, and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1,074,196 and 402,205 shares outstanding as of September 30, 2024 and December 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2023, respectively</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118,245,220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114,300,849</w:t>
            </w: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(111,210,860)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(103,219,124)</w:t>
            </w:r>
          </w:p>
        </w:tc>
      </w:tr>
      <w:tr>
        <w:trPr>
          <w:trHeight w:val="198"/>
        </w:trPr>
        <w:tc>
          <w:tcPr>
            <w:tcW w:w="68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Treasury stock, at cost, 7 shares at September 30, 2024 and December 31, 2023,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(7,168)</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(7,168)</w:t>
            </w:r>
          </w:p>
        </w:tc>
      </w:tr>
      <w:tr>
        <w:trPr>
          <w:trHeight w:val="209"/>
        </w:trPr>
        <w:tc>
          <w:tcPr>
            <w:tcW w:w="68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7,027,300</w:t>
            </w:r>
          </w:p>
        </w:tc>
        <w:tc>
          <w:tcPr>
            <w:tcW w:w="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11,074,598</w:t>
            </w:r>
          </w:p>
        </w:tc>
        <w:tc>
          <w:tcPr>
            <w:tcW w:w="100" w:type="dxa"/>
            <w:vAlign w:val="bottom"/>
            <w:tcBorders>
              <w:bottom w:val="single" w:sz="8" w:color="CCEEFF"/>
            </w:tcBorders>
          </w:tcPr>
          <w:p>
            <w:pPr>
              <w:spacing w:after="0"/>
              <w:rPr>
                <w:sz w:val="18"/>
                <w:szCs w:val="18"/>
                <w:color w:val="auto"/>
              </w:rPr>
            </w:pPr>
          </w:p>
        </w:tc>
      </w:tr>
      <w:tr>
        <w:trPr>
          <w:trHeight w:val="210"/>
        </w:trPr>
        <w:tc>
          <w:tcPr>
            <w:tcW w:w="6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6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19,423,924</w:t>
            </w:r>
          </w:p>
        </w:tc>
        <w:tc>
          <w:tcPr>
            <w:tcW w:w="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22,114,284</w:t>
            </w:r>
          </w:p>
        </w:tc>
      </w:tr>
      <w:tr>
        <w:trPr>
          <w:trHeight w:val="20"/>
        </w:trPr>
        <w:tc>
          <w:tcPr>
            <w:tcW w:w="6980" w:type="dxa"/>
            <w:vAlign w:val="bottom"/>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200" w:type="dxa"/>
            <w:vAlign w:val="bottom"/>
            <w:gridSpan w:val="5"/>
          </w:tcPr>
          <w:p>
            <w:pPr>
              <w:jc w:val="center"/>
              <w:ind w:left="195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condensed consolidated financial statements.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880" w:type="dxa"/>
            <w:vAlign w:val="bottom"/>
            <w:tcBorders>
              <w:bottom w:val="single" w:sz="8" w:color="auto"/>
            </w:tcBorders>
          </w:tcPr>
          <w:p>
            <w:pPr>
              <w:jc w:val="center"/>
              <w:ind w:left="4270"/>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320" w:type="dxa"/>
            <w:vAlign w:val="bottom"/>
            <w:gridSpan w:val="5"/>
          </w:tcPr>
          <w:p>
            <w:pPr>
              <w:jc w:val="right"/>
              <w:ind w:right="78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300" w:type="dxa"/>
            <w:vAlign w:val="bottom"/>
          </w:tcPr>
          <w:p>
            <w:pPr>
              <w:spacing w:after="0"/>
              <w:rPr>
                <w:sz w:val="19"/>
                <w:szCs w:val="19"/>
                <w:color w:val="auto"/>
              </w:rPr>
            </w:pPr>
          </w:p>
        </w:tc>
        <w:tc>
          <w:tcPr>
            <w:tcW w:w="3020" w:type="dxa"/>
            <w:vAlign w:val="bottom"/>
            <w:gridSpan w:val="7"/>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436,043</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673,943</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1,658,030</w:t>
            </w:r>
          </w:p>
        </w:tc>
        <w:tc>
          <w:tcPr>
            <w:tcW w:w="6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2,950,462</w:t>
            </w:r>
          </w:p>
        </w:tc>
        <w:tc>
          <w:tcPr>
            <w:tcW w:w="80" w:type="dxa"/>
            <w:vAlign w:val="bottom"/>
          </w:tcPr>
          <w:p>
            <w:pPr>
              <w:spacing w:after="0"/>
              <w:rPr>
                <w:sz w:val="18"/>
                <w:szCs w:val="18"/>
                <w:color w:val="auto"/>
              </w:rPr>
            </w:pPr>
          </w:p>
        </w:tc>
      </w:tr>
      <w:tr>
        <w:trPr>
          <w:trHeight w:val="216"/>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1,833,578</w:t>
            </w:r>
          </w:p>
        </w:tc>
        <w:tc>
          <w:tcPr>
            <w:tcW w:w="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2,228,735</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6,192,205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9,694,097</w:t>
            </w:r>
          </w:p>
        </w:tc>
        <w:tc>
          <w:tcPr>
            <w:tcW w:w="80" w:type="dxa"/>
            <w:vAlign w:val="bottom"/>
            <w:shd w:val="clear" w:color="auto" w:fill="CCEEFF"/>
          </w:tcPr>
          <w:p>
            <w:pPr>
              <w:spacing w:after="0"/>
              <w:rPr>
                <w:sz w:val="18"/>
                <w:szCs w:val="18"/>
                <w:color w:val="auto"/>
              </w:rPr>
            </w:pP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in-process research and development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3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69,280,171</w:t>
            </w:r>
          </w:p>
        </w:tc>
        <w:tc>
          <w:tcPr>
            <w:tcW w:w="80" w:type="dxa"/>
            <w:vAlign w:val="bottom"/>
          </w:tcPr>
          <w:p>
            <w:pPr>
              <w:spacing w:after="0"/>
              <w:rPr>
                <w:sz w:val="18"/>
                <w:szCs w:val="18"/>
                <w:color w:val="auto"/>
              </w:rPr>
            </w:pPr>
          </w:p>
        </w:tc>
      </w:tr>
      <w:tr>
        <w:trPr>
          <w:trHeight w:val="229"/>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goodwill</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11,895,033</w:t>
            </w:r>
          </w:p>
        </w:tc>
        <w:tc>
          <w:tcPr>
            <w:tcW w:w="80" w:type="dxa"/>
            <w:vAlign w:val="bottom"/>
            <w:shd w:val="clear" w:color="auto" w:fill="CCEEFF"/>
          </w:tcPr>
          <w:p>
            <w:pPr>
              <w:spacing w:after="0"/>
              <w:rPr>
                <w:sz w:val="19"/>
                <w:szCs w:val="19"/>
                <w:color w:val="auto"/>
              </w:rPr>
            </w:pPr>
          </w:p>
        </w:tc>
      </w:tr>
      <w:tr>
        <w:trPr>
          <w:trHeight w:val="209"/>
        </w:trPr>
        <w:tc>
          <w:tcPr>
            <w:tcW w:w="4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2,269,621</w:t>
            </w:r>
          </w:p>
        </w:tc>
        <w:tc>
          <w:tcPr>
            <w:tcW w:w="34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2,902,678</w:t>
            </w:r>
          </w:p>
        </w:tc>
        <w:tc>
          <w:tcPr>
            <w:tcW w:w="3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7,850,235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93,819,763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(2,269,621)</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(2,902,678)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(7,850,235)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(93,819,763)</w:t>
            </w:r>
          </w:p>
        </w:tc>
        <w:tc>
          <w:tcPr>
            <w:tcW w:w="100" w:type="dxa"/>
            <w:vAlign w:val="bottom"/>
            <w:gridSpan w:val="2"/>
            <w:shd w:val="clear" w:color="auto" w:fill="CCEEFF"/>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expense</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131,635</w:t>
            </w:r>
          </w:p>
        </w:tc>
        <w:tc>
          <w:tcPr>
            <w:tcW w:w="480" w:type="dxa"/>
            <w:vAlign w:val="bottom"/>
          </w:tcPr>
          <w:p>
            <w:pPr>
              <w:spacing w:after="0"/>
              <w:rPr>
                <w:sz w:val="19"/>
                <w:szCs w:val="19"/>
                <w:color w:val="auto"/>
              </w:rPr>
            </w:pPr>
          </w:p>
        </w:tc>
        <w:tc>
          <w:tcPr>
            <w:tcW w:w="13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210</w:t>
            </w:r>
          </w:p>
        </w:tc>
        <w:tc>
          <w:tcPr>
            <w:tcW w:w="300" w:type="dxa"/>
            <w:vAlign w:val="bottom"/>
          </w:tcPr>
          <w:p>
            <w:pPr>
              <w:spacing w:after="0"/>
              <w:rPr>
                <w:sz w:val="19"/>
                <w:szCs w:val="19"/>
                <w:color w:val="auto"/>
              </w:rPr>
            </w:pP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131,794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(555)</w:t>
            </w:r>
          </w:p>
        </w:tc>
      </w:tr>
      <w:tr>
        <w:trPr>
          <w:trHeight w:val="209"/>
        </w:trPr>
        <w:tc>
          <w:tcPr>
            <w:tcW w:w="4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Pre-Tax Net Loss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(2,401,256)</w:t>
            </w:r>
          </w:p>
        </w:tc>
        <w:tc>
          <w:tcPr>
            <w:tcW w:w="480" w:type="dxa"/>
            <w:vAlign w:val="bottom"/>
          </w:tcPr>
          <w:p>
            <w:pPr>
              <w:spacing w:after="0"/>
              <w:rPr>
                <w:sz w:val="18"/>
                <w:szCs w:val="18"/>
                <w:color w:val="auto"/>
              </w:rPr>
            </w:pPr>
          </w:p>
        </w:tc>
        <w:tc>
          <w:tcPr>
            <w:tcW w:w="13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(2,902,888)</w:t>
            </w:r>
          </w:p>
        </w:tc>
        <w:tc>
          <w:tcPr>
            <w:tcW w:w="300" w:type="dxa"/>
            <w:vAlign w:val="bottom"/>
          </w:tcPr>
          <w:p>
            <w:pPr>
              <w:spacing w:after="0"/>
              <w:rPr>
                <w:sz w:val="18"/>
                <w:szCs w:val="18"/>
                <w:color w:val="auto"/>
              </w:rPr>
            </w:pP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(7,982,029)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(93,819,208)</w:t>
            </w:r>
          </w:p>
        </w:tc>
      </w:tr>
      <w:tr>
        <w:trPr>
          <w:trHeight w:val="230"/>
        </w:trPr>
        <w:tc>
          <w:tcPr>
            <w:tcW w:w="4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485</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(9,707)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8,859,762</w:t>
            </w:r>
          </w:p>
        </w:tc>
        <w:tc>
          <w:tcPr>
            <w:tcW w:w="80" w:type="dxa"/>
            <w:vAlign w:val="bottom"/>
            <w:shd w:val="clear" w:color="auto" w:fill="CCEEFF"/>
          </w:tcPr>
          <w:p>
            <w:pPr>
              <w:spacing w:after="0"/>
              <w:rPr>
                <w:sz w:val="19"/>
                <w:szCs w:val="19"/>
                <w:color w:val="auto"/>
              </w:rPr>
            </w:pPr>
          </w:p>
        </w:tc>
      </w:tr>
      <w:tr>
        <w:trPr>
          <w:trHeight w:val="209"/>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(2,401,256)</w:t>
            </w:r>
          </w:p>
        </w:tc>
        <w:tc>
          <w:tcPr>
            <w:tcW w:w="3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(2,902,403)</w:t>
            </w:r>
          </w:p>
        </w:tc>
        <w:tc>
          <w:tcPr>
            <w:tcW w:w="3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(7,991,736)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(84,959,446)</w:t>
            </w:r>
          </w:p>
        </w:tc>
        <w:tc>
          <w:tcPr>
            <w:tcW w:w="100" w:type="dxa"/>
            <w:vAlign w:val="bottom"/>
            <w:gridSpan w:val="2"/>
          </w:tcPr>
          <w:p>
            <w:pPr>
              <w:spacing w:after="0"/>
              <w:rPr>
                <w:sz w:val="18"/>
                <w:szCs w:val="18"/>
                <w:color w:val="auto"/>
              </w:rPr>
            </w:pPr>
          </w:p>
        </w:tc>
      </w:tr>
      <w:tr>
        <w:trPr>
          <w:trHeight w:val="229"/>
        </w:trPr>
        <w:tc>
          <w:tcPr>
            <w:tcW w:w="4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Deemed dividend to preferred stockholders</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(32,373)</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(7,948,209)</w:t>
            </w:r>
          </w:p>
        </w:tc>
      </w:tr>
      <w:tr>
        <w:trPr>
          <w:trHeight w:val="263"/>
        </w:trPr>
        <w:tc>
          <w:tcPr>
            <w:tcW w:w="4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(2,401,256</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(2,934,776</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(7,991,736</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(92,907,655</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4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Per Share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4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Basic and Diluted</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(2.43)</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(30.18)</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(9.79)</w:t>
            </w:r>
          </w:p>
        </w:tc>
        <w:tc>
          <w:tcPr>
            <w:tcW w:w="6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(1,591.46)</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6"/>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41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43"/>
        </w:trPr>
        <w:tc>
          <w:tcPr>
            <w:tcW w:w="4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Basic and Diluted</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988,378</w:t>
            </w:r>
          </w:p>
        </w:tc>
        <w:tc>
          <w:tcPr>
            <w:tcW w:w="480" w:type="dxa"/>
            <w:vAlign w:val="bottom"/>
          </w:tcPr>
          <w:p>
            <w:pPr>
              <w:spacing w:after="0"/>
              <w:rPr>
                <w:sz w:val="21"/>
                <w:szCs w:val="21"/>
                <w:color w:val="auto"/>
              </w:rPr>
            </w:pPr>
          </w:p>
        </w:tc>
        <w:tc>
          <w:tcPr>
            <w:tcW w:w="13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97,252</w:t>
            </w:r>
          </w:p>
        </w:tc>
        <w:tc>
          <w:tcPr>
            <w:tcW w:w="300" w:type="dxa"/>
            <w:vAlign w:val="bottom"/>
          </w:tcPr>
          <w:p>
            <w:pPr>
              <w:spacing w:after="0"/>
              <w:rPr>
                <w:sz w:val="21"/>
                <w:szCs w:val="21"/>
                <w:color w:val="auto"/>
              </w:rPr>
            </w:pP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816,293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58,379</w:t>
            </w:r>
          </w:p>
        </w:tc>
        <w:tc>
          <w:tcPr>
            <w:tcW w:w="80" w:type="dxa"/>
            <w:vAlign w:val="bottom"/>
          </w:tcPr>
          <w:p>
            <w:pPr>
              <w:spacing w:after="0"/>
              <w:rPr>
                <w:sz w:val="21"/>
                <w:szCs w:val="21"/>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2024 and 2023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580" w:type="dxa"/>
            <w:vAlign w:val="bottom"/>
            <w:tcBorders>
              <w:bottom w:val="single" w:sz="8" w:color="auto"/>
            </w:tcBorders>
            <w:gridSpan w:val="26"/>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For the Three and Nine Months Ended September 30, 2024</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4"/>
          </w:tcPr>
          <w:p>
            <w:pPr>
              <w:jc w:val="center"/>
              <w:ind w:left="150"/>
              <w:spacing w:after="0" w:line="188" w:lineRule="exact"/>
              <w:rPr>
                <w:sz w:val="20"/>
                <w:szCs w:val="20"/>
                <w:color w:val="auto"/>
              </w:rPr>
            </w:pPr>
            <w:r>
              <w:rPr>
                <w:rFonts w:ascii="Times New Roman" w:cs="Times New Roman" w:eastAsia="Times New Roman" w:hAnsi="Times New Roman"/>
                <w:sz w:val="18"/>
                <w:szCs w:val="18"/>
                <w:b w:val="1"/>
                <w:bCs w:val="1"/>
                <w:color w:val="auto"/>
              </w:rPr>
              <w:t>Series A</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5"/>
          </w:tcPr>
          <w:p>
            <w:pPr>
              <w:jc w:val="center"/>
              <w:ind w:left="1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Series B</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3"/>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Additional</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20" w:type="dxa"/>
            <w:vAlign w:val="bottom"/>
          </w:tcPr>
          <w:p>
            <w:pPr>
              <w:spacing w:after="0"/>
              <w:rPr>
                <w:sz w:val="21"/>
                <w:szCs w:val="21"/>
                <w:color w:val="auto"/>
              </w:rPr>
            </w:pPr>
          </w:p>
        </w:tc>
        <w:tc>
          <w:tcPr>
            <w:tcW w:w="1400" w:type="dxa"/>
            <w:vAlign w:val="bottom"/>
            <w:gridSpan w:val="8"/>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20" w:type="dxa"/>
            <w:vAlign w:val="bottom"/>
          </w:tcPr>
          <w:p>
            <w:pPr>
              <w:spacing w:after="0"/>
              <w:rPr>
                <w:sz w:val="21"/>
                <w:szCs w:val="21"/>
                <w:color w:val="auto"/>
              </w:rPr>
            </w:pPr>
          </w:p>
        </w:tc>
        <w:tc>
          <w:tcPr>
            <w:tcW w:w="1540" w:type="dxa"/>
            <w:vAlign w:val="bottom"/>
            <w:gridSpan w:val="7"/>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9"/>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60" w:type="dxa"/>
            <w:vAlign w:val="bottom"/>
          </w:tcPr>
          <w:p>
            <w:pPr>
              <w:spacing w:after="0"/>
              <w:rPr>
                <w:sz w:val="21"/>
                <w:szCs w:val="21"/>
                <w:color w:val="auto"/>
              </w:rPr>
            </w:pP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21"/>
                <w:szCs w:val="21"/>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6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120" w:type="dxa"/>
            <w:vAlign w:val="bottom"/>
          </w:tcPr>
          <w:p>
            <w:pPr>
              <w:spacing w:after="0"/>
              <w:rPr>
                <w:sz w:val="19"/>
                <w:szCs w:val="19"/>
                <w:color w:val="auto"/>
              </w:rPr>
            </w:pPr>
          </w:p>
        </w:tc>
        <w:tc>
          <w:tcPr>
            <w:tcW w:w="60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68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2"/>
              </w:rPr>
              <w:t>Shares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7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 December</w:t>
            </w: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31, 2023</w:t>
            </w:r>
          </w:p>
        </w:tc>
        <w:tc>
          <w:tcPr>
            <w:tcW w:w="7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60" w:type="dxa"/>
            <w:vAlign w:val="bottom"/>
            <w:shd w:val="clear" w:color="auto" w:fill="CCEEFF"/>
          </w:tcPr>
          <w:p>
            <w:pPr>
              <w:spacing w:after="0"/>
              <w:rPr>
                <w:sz w:val="20"/>
                <w:szCs w:val="20"/>
                <w:color w:val="auto"/>
              </w:rPr>
            </w:pP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405,212</w:t>
            </w:r>
          </w:p>
        </w:tc>
        <w:tc>
          <w:tcPr>
            <w:tcW w:w="3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7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(7,168)</w:t>
            </w:r>
          </w:p>
        </w:tc>
        <w:tc>
          <w:tcPr>
            <w:tcW w:w="11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$ 114,300,849</w:t>
            </w:r>
          </w:p>
        </w:tc>
        <w:tc>
          <w:tcPr>
            <w:tcW w:w="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(103,219,124)</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11,074,598</w:t>
            </w:r>
          </w:p>
        </w:tc>
        <w:tc>
          <w:tcPr>
            <w:tcW w:w="0" w:type="dxa"/>
            <w:vAlign w:val="bottom"/>
          </w:tcPr>
          <w:p>
            <w:pPr>
              <w:spacing w:after="0"/>
              <w:rPr>
                <w:sz w:val="1"/>
                <w:szCs w:val="1"/>
                <w:color w:val="auto"/>
              </w:rPr>
            </w:pPr>
          </w:p>
        </w:tc>
      </w:tr>
      <w:tr>
        <w:trPr>
          <w:trHeight w:val="216"/>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warrants</w:t>
            </w:r>
          </w:p>
        </w:tc>
        <w:tc>
          <w:tcPr>
            <w:tcW w:w="7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213,800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2,672,479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2,672,500</w:t>
            </w:r>
          </w:p>
        </w:tc>
        <w:tc>
          <w:tcPr>
            <w:tcW w:w="0" w:type="dxa"/>
            <w:vAlign w:val="bottom"/>
          </w:tcPr>
          <w:p>
            <w:pPr>
              <w:spacing w:after="0"/>
              <w:rPr>
                <w:sz w:val="1"/>
                <w:szCs w:val="1"/>
                <w:color w:val="auto"/>
              </w:rPr>
            </w:pPr>
          </w:p>
        </w:tc>
      </w:tr>
      <w:tr>
        <w:trPr>
          <w:trHeight w:val="198"/>
        </w:trPr>
        <w:tc>
          <w:tcPr>
            <w:tcW w:w="17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 pre-</w:t>
            </w: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funded warrants</w:t>
            </w:r>
          </w:p>
        </w:tc>
        <w:tc>
          <w:tcPr>
            <w:tcW w:w="7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131,481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1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7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w:t>
            </w: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pursuant to</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vendor agreements</w:t>
            </w:r>
          </w:p>
        </w:tc>
        <w:tc>
          <w:tcPr>
            <w:tcW w:w="7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79,199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79,200</w:t>
            </w:r>
          </w:p>
        </w:tc>
        <w:tc>
          <w:tcPr>
            <w:tcW w:w="0" w:type="dxa"/>
            <w:vAlign w:val="bottom"/>
          </w:tcPr>
          <w:p>
            <w:pPr>
              <w:spacing w:after="0"/>
              <w:rPr>
                <w:sz w:val="1"/>
                <w:szCs w:val="1"/>
                <w:color w:val="auto"/>
              </w:rPr>
            </w:pPr>
          </w:p>
        </w:tc>
      </w:tr>
      <w:tr>
        <w:trPr>
          <w:trHeight w:val="198"/>
        </w:trPr>
        <w:tc>
          <w:tcPr>
            <w:tcW w:w="17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Round up share</w:t>
            </w: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 due to</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reverse split</w:t>
            </w:r>
          </w:p>
        </w:tc>
        <w:tc>
          <w:tcPr>
            <w:tcW w:w="7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1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7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7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223,573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223,573</w:t>
            </w:r>
          </w:p>
        </w:tc>
        <w:tc>
          <w:tcPr>
            <w:tcW w:w="0" w:type="dxa"/>
            <w:vAlign w:val="bottom"/>
          </w:tcPr>
          <w:p>
            <w:pPr>
              <w:spacing w:after="0"/>
              <w:rPr>
                <w:sz w:val="1"/>
                <w:szCs w:val="1"/>
                <w:color w:val="auto"/>
              </w:rPr>
            </w:pPr>
          </w:p>
        </w:tc>
      </w:tr>
      <w:tr>
        <w:trPr>
          <w:trHeight w:val="230"/>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(2,826,737)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(2,826,737)</w:t>
            </w:r>
          </w:p>
        </w:tc>
        <w:tc>
          <w:tcPr>
            <w:tcW w:w="0" w:type="dxa"/>
            <w:vAlign w:val="bottom"/>
          </w:tcPr>
          <w:p>
            <w:pPr>
              <w:spacing w:after="0"/>
              <w:rPr>
                <w:sz w:val="1"/>
                <w:szCs w:val="1"/>
                <w:color w:val="auto"/>
              </w:rPr>
            </w:pPr>
          </w:p>
        </w:tc>
      </w:tr>
      <w:tr>
        <w:trPr>
          <w:trHeight w:val="174"/>
        </w:trPr>
        <w:tc>
          <w:tcPr>
            <w:tcW w:w="172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 March 31,</w:t>
            </w:r>
          </w:p>
        </w:tc>
        <w:tc>
          <w:tcPr>
            <w:tcW w:w="4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38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834,903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7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(7,168)</w:t>
            </w: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117,276,079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9"/>
              </w:rPr>
              <w:t>(106,045,861)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11,223,134</w:t>
            </w:r>
          </w:p>
        </w:tc>
        <w:tc>
          <w:tcPr>
            <w:tcW w:w="0" w:type="dxa"/>
            <w:vAlign w:val="bottom"/>
          </w:tcPr>
          <w:p>
            <w:pPr>
              <w:spacing w:after="0"/>
              <w:rPr>
                <w:sz w:val="1"/>
                <w:szCs w:val="1"/>
                <w:color w:val="auto"/>
              </w:rPr>
            </w:pPr>
          </w:p>
        </w:tc>
      </w:tr>
      <w:tr>
        <w:trPr>
          <w:trHeight w:val="198"/>
        </w:trPr>
        <w:tc>
          <w:tcPr>
            <w:tcW w:w="17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7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1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160,664</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160,664</w:t>
            </w:r>
          </w:p>
        </w:tc>
        <w:tc>
          <w:tcPr>
            <w:tcW w:w="0" w:type="dxa"/>
            <w:vAlign w:val="bottom"/>
          </w:tcPr>
          <w:p>
            <w:pPr>
              <w:spacing w:after="0"/>
              <w:rPr>
                <w:sz w:val="1"/>
                <w:szCs w:val="1"/>
                <w:color w:val="auto"/>
              </w:rPr>
            </w:pPr>
          </w:p>
        </w:tc>
      </w:tr>
      <w:tr>
        <w:trPr>
          <w:trHeight w:val="230"/>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(2,763,743)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(2,763,743)</w:t>
            </w:r>
          </w:p>
        </w:tc>
        <w:tc>
          <w:tcPr>
            <w:tcW w:w="0" w:type="dxa"/>
            <w:vAlign w:val="bottom"/>
          </w:tcPr>
          <w:p>
            <w:pPr>
              <w:spacing w:after="0"/>
              <w:rPr>
                <w:sz w:val="1"/>
                <w:szCs w:val="1"/>
                <w:color w:val="auto"/>
              </w:rPr>
            </w:pPr>
          </w:p>
        </w:tc>
      </w:tr>
      <w:tr>
        <w:trPr>
          <w:trHeight w:val="174"/>
        </w:trPr>
        <w:tc>
          <w:tcPr>
            <w:tcW w:w="172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 June 30,</w:t>
            </w:r>
          </w:p>
        </w:tc>
        <w:tc>
          <w:tcPr>
            <w:tcW w:w="4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3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834,903</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7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(7,168)</w:t>
            </w:r>
          </w:p>
        </w:tc>
        <w:tc>
          <w:tcPr>
            <w:tcW w:w="11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117,436,743</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(108,809,604)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8,620,055</w:t>
            </w:r>
          </w:p>
        </w:tc>
        <w:tc>
          <w:tcPr>
            <w:tcW w:w="0" w:type="dxa"/>
            <w:vAlign w:val="bottom"/>
          </w:tcPr>
          <w:p>
            <w:pPr>
              <w:spacing w:after="0"/>
              <w:rPr>
                <w:sz w:val="1"/>
                <w:szCs w:val="1"/>
                <w:color w:val="auto"/>
              </w:rPr>
            </w:pPr>
          </w:p>
        </w:tc>
      </w:tr>
      <w:tr>
        <w:trPr>
          <w:trHeight w:val="198"/>
        </w:trPr>
        <w:tc>
          <w:tcPr>
            <w:tcW w:w="17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Warrant inducement</w:t>
            </w: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 - exercise</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720" w:type="dxa"/>
            <w:vAlign w:val="bottom"/>
          </w:tcPr>
          <w:p>
            <w:pPr>
              <w:ind w:left="180"/>
              <w:spacing w:after="0" w:line="271" w:lineRule="exact"/>
              <w:rPr>
                <w:sz w:val="20"/>
                <w:szCs w:val="20"/>
                <w:color w:val="auto"/>
              </w:rPr>
            </w:pPr>
            <w:r>
              <w:rPr>
                <w:rFonts w:ascii="Times New Roman" w:cs="Times New Roman" w:eastAsia="Times New Roman" w:hAnsi="Times New Roman"/>
                <w:sz w:val="18"/>
                <w:szCs w:val="18"/>
                <w:color w:val="auto"/>
              </w:rPr>
              <w:t xml:space="preserve">proceeds </w:t>
            </w:r>
            <w:r>
              <w:rPr>
                <w:rFonts w:ascii="Times New Roman" w:cs="Times New Roman" w:eastAsia="Times New Roman" w:hAnsi="Times New Roman"/>
                <w:sz w:val="29"/>
                <w:szCs w:val="29"/>
                <w:color w:val="auto"/>
                <w:vertAlign w:val="superscript"/>
              </w:rPr>
              <w:t>[1]</w:t>
            </w:r>
          </w:p>
        </w:tc>
        <w:tc>
          <w:tcPr>
            <w:tcW w:w="7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239,300</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400,900</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400,924</w:t>
            </w:r>
          </w:p>
        </w:tc>
        <w:tc>
          <w:tcPr>
            <w:tcW w:w="0" w:type="dxa"/>
            <w:vAlign w:val="bottom"/>
          </w:tcPr>
          <w:p>
            <w:pPr>
              <w:spacing w:after="0"/>
              <w:rPr>
                <w:sz w:val="1"/>
                <w:szCs w:val="1"/>
                <w:color w:val="auto"/>
              </w:rPr>
            </w:pPr>
          </w:p>
        </w:tc>
      </w:tr>
      <w:tr>
        <w:trPr>
          <w:trHeight w:val="198"/>
        </w:trPr>
        <w:tc>
          <w:tcPr>
            <w:tcW w:w="17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Warrant</w:t>
            </w: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modification</w:t>
            </w:r>
          </w:p>
        </w:tc>
        <w:tc>
          <w:tcPr>
            <w:tcW w:w="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246,912</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246,912</w:t>
            </w:r>
          </w:p>
        </w:tc>
        <w:tc>
          <w:tcPr>
            <w:tcW w:w="0" w:type="dxa"/>
            <w:vAlign w:val="bottom"/>
          </w:tcPr>
          <w:p>
            <w:pPr>
              <w:spacing w:after="0"/>
              <w:rPr>
                <w:sz w:val="1"/>
                <w:szCs w:val="1"/>
                <w:color w:val="auto"/>
              </w:rPr>
            </w:pPr>
          </w:p>
        </w:tc>
      </w:tr>
      <w:tr>
        <w:trPr>
          <w:trHeight w:val="198"/>
        </w:trPr>
        <w:tc>
          <w:tcPr>
            <w:tcW w:w="17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7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160,665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160,665</w:t>
            </w:r>
          </w:p>
        </w:tc>
        <w:tc>
          <w:tcPr>
            <w:tcW w:w="0" w:type="dxa"/>
            <w:vAlign w:val="bottom"/>
          </w:tcPr>
          <w:p>
            <w:pPr>
              <w:spacing w:after="0"/>
              <w:rPr>
                <w:sz w:val="1"/>
                <w:szCs w:val="1"/>
                <w:color w:val="auto"/>
              </w:rPr>
            </w:pPr>
          </w:p>
        </w:tc>
      </w:tr>
      <w:tr>
        <w:trPr>
          <w:trHeight w:val="230"/>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(2,401,256)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(2,401,256)</w:t>
            </w:r>
          </w:p>
        </w:tc>
        <w:tc>
          <w:tcPr>
            <w:tcW w:w="0" w:type="dxa"/>
            <w:vAlign w:val="bottom"/>
          </w:tcPr>
          <w:p>
            <w:pPr>
              <w:spacing w:after="0"/>
              <w:rPr>
                <w:sz w:val="1"/>
                <w:szCs w:val="1"/>
                <w:color w:val="auto"/>
              </w:rPr>
            </w:pPr>
          </w:p>
        </w:tc>
      </w:tr>
      <w:tr>
        <w:trPr>
          <w:trHeight w:val="174"/>
        </w:trPr>
        <w:tc>
          <w:tcPr>
            <w:tcW w:w="172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 September</w:t>
            </w:r>
          </w:p>
        </w:tc>
        <w:tc>
          <w:tcPr>
            <w:tcW w:w="4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40" w:type="dxa"/>
            <w:vAlign w:val="bottom"/>
          </w:tcPr>
          <w:p>
            <w:pPr>
              <w:spacing w:after="0"/>
              <w:rPr>
                <w:sz w:val="23"/>
                <w:szCs w:val="2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23"/>
                <w:szCs w:val="23"/>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3"/>
                <w:szCs w:val="23"/>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1,074,203</w:t>
            </w:r>
          </w:p>
        </w:tc>
        <w:tc>
          <w:tcPr>
            <w:tcW w:w="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500" w:type="dxa"/>
            <w:vAlign w:val="bottom"/>
            <w:gridSpan w:val="11"/>
          </w:tcPr>
          <w:p>
            <w:pPr>
              <w:jc w:val="right"/>
              <w:ind w:right="20"/>
              <w:spacing w:after="0"/>
              <w:rPr>
                <w:sz w:val="20"/>
                <w:szCs w:val="20"/>
                <w:color w:val="auto"/>
              </w:rPr>
            </w:pPr>
            <w:r>
              <w:rPr>
                <w:rFonts w:ascii="Times New Roman" w:cs="Times New Roman" w:eastAsia="Times New Roman" w:hAnsi="Times New Roman"/>
                <w:sz w:val="18"/>
                <w:szCs w:val="18"/>
                <w:color w:val="auto"/>
              </w:rPr>
              <w:t>(7) $ (7,168)</w:t>
            </w: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$ 118,245,220</w:t>
            </w:r>
          </w:p>
        </w:tc>
        <w:tc>
          <w:tcPr>
            <w:tcW w:w="4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9"/>
              </w:rPr>
              <w:t>(111,210,860)</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7,027,300</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7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gridSpan w:val="26"/>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For the Three and Nine Months Ended September 30, 2023</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4"/>
          </w:tcPr>
          <w:p>
            <w:pPr>
              <w:jc w:val="center"/>
              <w:ind w:left="110"/>
              <w:spacing w:after="0" w:line="188" w:lineRule="exact"/>
              <w:rPr>
                <w:sz w:val="20"/>
                <w:szCs w:val="20"/>
                <w:color w:val="auto"/>
              </w:rPr>
            </w:pPr>
            <w:r>
              <w:rPr>
                <w:rFonts w:ascii="Times New Roman" w:cs="Times New Roman" w:eastAsia="Times New Roman" w:hAnsi="Times New Roman"/>
                <w:sz w:val="18"/>
                <w:szCs w:val="18"/>
                <w:b w:val="1"/>
                <w:bCs w:val="1"/>
                <w:color w:val="auto"/>
              </w:rPr>
              <w:t>Series A</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5"/>
          </w:tcPr>
          <w:p>
            <w:pPr>
              <w:jc w:val="center"/>
              <w:ind w:left="210"/>
              <w:spacing w:after="0" w:line="188" w:lineRule="exact"/>
              <w:rPr>
                <w:sz w:val="20"/>
                <w:szCs w:val="20"/>
                <w:color w:val="auto"/>
              </w:rPr>
            </w:pPr>
            <w:r>
              <w:rPr>
                <w:rFonts w:ascii="Times New Roman" w:cs="Times New Roman" w:eastAsia="Times New Roman" w:hAnsi="Times New Roman"/>
                <w:sz w:val="18"/>
                <w:szCs w:val="18"/>
                <w:b w:val="1"/>
                <w:bCs w:val="1"/>
                <w:color w:val="auto"/>
              </w:rPr>
              <w:t>Series B</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4"/>
          </w:tcPr>
          <w:p>
            <w:pPr>
              <w:jc w:val="right"/>
              <w:ind w:right="240"/>
              <w:spacing w:after="0" w:line="188" w:lineRule="exact"/>
              <w:rPr>
                <w:sz w:val="20"/>
                <w:szCs w:val="20"/>
                <w:color w:val="auto"/>
              </w:rPr>
            </w:pPr>
            <w:r>
              <w:rPr>
                <w:rFonts w:ascii="Times New Roman" w:cs="Times New Roman" w:eastAsia="Times New Roman" w:hAnsi="Times New Roman"/>
                <w:sz w:val="18"/>
                <w:szCs w:val="18"/>
                <w:b w:val="1"/>
                <w:bCs w:val="1"/>
                <w:color w:val="auto"/>
              </w:rPr>
              <w:t>Additional</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0" w:type="dxa"/>
            <w:vAlign w:val="bottom"/>
            <w:gridSpan w:val="6"/>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20" w:type="dxa"/>
            <w:vAlign w:val="bottom"/>
          </w:tcPr>
          <w:p>
            <w:pPr>
              <w:spacing w:after="0"/>
              <w:rPr>
                <w:sz w:val="21"/>
                <w:szCs w:val="21"/>
                <w:color w:val="auto"/>
              </w:rPr>
            </w:pPr>
          </w:p>
        </w:tc>
        <w:tc>
          <w:tcPr>
            <w:tcW w:w="1400" w:type="dxa"/>
            <w:vAlign w:val="bottom"/>
            <w:gridSpan w:val="8"/>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20" w:type="dxa"/>
            <w:vAlign w:val="bottom"/>
          </w:tcPr>
          <w:p>
            <w:pPr>
              <w:spacing w:after="0"/>
              <w:rPr>
                <w:sz w:val="21"/>
                <w:szCs w:val="21"/>
                <w:color w:val="auto"/>
              </w:rPr>
            </w:pPr>
          </w:p>
        </w:tc>
        <w:tc>
          <w:tcPr>
            <w:tcW w:w="1540" w:type="dxa"/>
            <w:vAlign w:val="bottom"/>
            <w:gridSpan w:val="7"/>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 w:type="dxa"/>
            <w:vAlign w:val="bottom"/>
          </w:tcPr>
          <w:p>
            <w:pPr>
              <w:spacing w:after="0"/>
              <w:rPr>
                <w:sz w:val="21"/>
                <w:szCs w:val="21"/>
                <w:color w:val="auto"/>
              </w:rPr>
            </w:pPr>
          </w:p>
        </w:tc>
        <w:tc>
          <w:tcPr>
            <w:tcW w:w="1480" w:type="dxa"/>
            <w:vAlign w:val="bottom"/>
            <w:gridSpan w:val="10"/>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60" w:type="dxa"/>
            <w:vAlign w:val="bottom"/>
          </w:tcPr>
          <w:p>
            <w:pPr>
              <w:spacing w:after="0"/>
              <w:rPr>
                <w:sz w:val="21"/>
                <w:szCs w:val="21"/>
                <w:color w:val="auto"/>
              </w:rPr>
            </w:pP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40" w:type="dxa"/>
            <w:vAlign w:val="bottom"/>
          </w:tcPr>
          <w:p>
            <w:pPr>
              <w:spacing w:after="0"/>
              <w:rPr>
                <w:sz w:val="21"/>
                <w:szCs w:val="21"/>
                <w:color w:val="auto"/>
              </w:rPr>
            </w:pPr>
          </w:p>
        </w:tc>
        <w:tc>
          <w:tcPr>
            <w:tcW w:w="124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700" w:type="dxa"/>
            <w:vAlign w:val="bottom"/>
            <w:tcBorders>
              <w:top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6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4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2"/>
              </w:rPr>
              <w:t>Shares</w:t>
            </w:r>
          </w:p>
        </w:tc>
        <w:tc>
          <w:tcPr>
            <w:tcW w:w="6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200" w:type="dxa"/>
            <w:vAlign w:val="bottom"/>
            <w:gridSpan w:val="3"/>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7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 December</w:t>
            </w: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31, 2022</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8,635</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5,062</w:t>
            </w:r>
          </w:p>
        </w:tc>
        <w:tc>
          <w:tcPr>
            <w:tcW w:w="4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25,760</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8"/>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$ 104,584,170</w:t>
            </w:r>
          </w:p>
        </w:tc>
        <w:tc>
          <w:tcPr>
            <w:tcW w:w="2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(4,921,178)</w:t>
            </w: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99,662,997</w:t>
            </w:r>
          </w:p>
        </w:tc>
        <w:tc>
          <w:tcPr>
            <w:tcW w:w="0" w:type="dxa"/>
            <w:vAlign w:val="bottom"/>
          </w:tcPr>
          <w:p>
            <w:pPr>
              <w:spacing w:after="0"/>
              <w:rPr>
                <w:sz w:val="1"/>
                <w:szCs w:val="1"/>
                <w:color w:val="auto"/>
              </w:rPr>
            </w:pPr>
          </w:p>
        </w:tc>
      </w:tr>
      <w:tr>
        <w:trPr>
          <w:trHeight w:val="198"/>
        </w:trPr>
        <w:tc>
          <w:tcPr>
            <w:tcW w:w="17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Reclassification of</w:t>
            </w: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formerly</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331,331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331,331</w:t>
            </w:r>
          </w:p>
        </w:tc>
        <w:tc>
          <w:tcPr>
            <w:tcW w:w="0" w:type="dxa"/>
            <w:vAlign w:val="bottom"/>
          </w:tcPr>
          <w:p>
            <w:pPr>
              <w:spacing w:after="0"/>
              <w:rPr>
                <w:sz w:val="1"/>
                <w:szCs w:val="1"/>
                <w:color w:val="auto"/>
              </w:rPr>
            </w:pPr>
          </w:p>
        </w:tc>
      </w:tr>
      <w:tr>
        <w:trPr>
          <w:trHeight w:val="198"/>
        </w:trPr>
        <w:tc>
          <w:tcPr>
            <w:tcW w:w="17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pursuant to vendor</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agreements</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395,200</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395,200</w:t>
            </w:r>
          </w:p>
        </w:tc>
        <w:tc>
          <w:tcPr>
            <w:tcW w:w="0" w:type="dxa"/>
            <w:vAlign w:val="bottom"/>
          </w:tcPr>
          <w:p>
            <w:pPr>
              <w:spacing w:after="0"/>
              <w:rPr>
                <w:sz w:val="1"/>
                <w:szCs w:val="1"/>
                <w:color w:val="auto"/>
              </w:rPr>
            </w:pPr>
          </w:p>
        </w:tc>
      </w:tr>
      <w:tr>
        <w:trPr>
          <w:trHeight w:val="198"/>
        </w:trPr>
        <w:tc>
          <w:tcPr>
            <w:tcW w:w="17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Registration costs</w:t>
            </w: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associated with</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(34,674)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(34,674)</w:t>
            </w:r>
          </w:p>
        </w:tc>
        <w:tc>
          <w:tcPr>
            <w:tcW w:w="0" w:type="dxa"/>
            <w:vAlign w:val="bottom"/>
          </w:tcPr>
          <w:p>
            <w:pPr>
              <w:spacing w:after="0"/>
              <w:rPr>
                <w:sz w:val="1"/>
                <w:szCs w:val="1"/>
                <w:color w:val="auto"/>
              </w:rPr>
            </w:pPr>
          </w:p>
        </w:tc>
      </w:tr>
      <w:tr>
        <w:trPr>
          <w:trHeight w:val="198"/>
        </w:trPr>
        <w:tc>
          <w:tcPr>
            <w:tcW w:w="17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287,461</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287,461</w:t>
            </w:r>
          </w:p>
        </w:tc>
        <w:tc>
          <w:tcPr>
            <w:tcW w:w="0" w:type="dxa"/>
            <w:vAlign w:val="bottom"/>
          </w:tcPr>
          <w:p>
            <w:pPr>
              <w:spacing w:after="0"/>
              <w:rPr>
                <w:sz w:val="1"/>
                <w:szCs w:val="1"/>
                <w:color w:val="auto"/>
              </w:rPr>
            </w:pPr>
          </w:p>
        </w:tc>
      </w:tr>
      <w:tr>
        <w:trPr>
          <w:trHeight w:val="229"/>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(3,543,950)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(3,543,950)</w:t>
            </w:r>
          </w:p>
        </w:tc>
        <w:tc>
          <w:tcPr>
            <w:tcW w:w="0" w:type="dxa"/>
            <w:vAlign w:val="bottom"/>
          </w:tcPr>
          <w:p>
            <w:pPr>
              <w:spacing w:after="0"/>
              <w:rPr>
                <w:sz w:val="1"/>
                <w:szCs w:val="1"/>
                <w:color w:val="auto"/>
              </w:rPr>
            </w:pPr>
          </w:p>
        </w:tc>
      </w:tr>
      <w:tr>
        <w:trPr>
          <w:trHeight w:val="174"/>
        </w:trPr>
        <w:tc>
          <w:tcPr>
            <w:tcW w:w="172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 March 31,</w:t>
            </w:r>
          </w:p>
        </w:tc>
        <w:tc>
          <w:tcPr>
            <w:tcW w:w="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8,635</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5,062</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26,319</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105,563,488</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(8,465,128)</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97,098,365</w:t>
            </w:r>
          </w:p>
        </w:tc>
        <w:tc>
          <w:tcPr>
            <w:tcW w:w="0" w:type="dxa"/>
            <w:vAlign w:val="bottom"/>
          </w:tcPr>
          <w:p>
            <w:pPr>
              <w:spacing w:after="0"/>
              <w:rPr>
                <w:sz w:val="1"/>
                <w:szCs w:val="1"/>
                <w:color w:val="auto"/>
              </w:rPr>
            </w:pPr>
          </w:p>
        </w:tc>
      </w:tr>
      <w:tr>
        <w:trPr>
          <w:trHeight w:val="198"/>
        </w:trPr>
        <w:tc>
          <w:tcPr>
            <w:tcW w:w="17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Registered offering</w:t>
            </w: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common stock</w:t>
            </w:r>
          </w:p>
        </w:tc>
        <w:tc>
          <w:tcPr>
            <w:tcW w:w="5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31,473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9,831,016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9,831,019</w:t>
            </w:r>
          </w:p>
        </w:tc>
        <w:tc>
          <w:tcPr>
            <w:tcW w:w="0" w:type="dxa"/>
            <w:vAlign w:val="bottom"/>
          </w:tcPr>
          <w:p>
            <w:pPr>
              <w:spacing w:after="0"/>
              <w:rPr>
                <w:sz w:val="1"/>
                <w:szCs w:val="1"/>
                <w:color w:val="auto"/>
              </w:rPr>
            </w:pPr>
          </w:p>
        </w:tc>
      </w:tr>
      <w:tr>
        <w:trPr>
          <w:trHeight w:val="217"/>
        </w:trPr>
        <w:tc>
          <w:tcPr>
            <w:tcW w:w="17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[2]</w:t>
            </w:r>
          </w:p>
        </w:tc>
        <w:tc>
          <w:tcPr>
            <w:tcW w:w="5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60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gridSpan w:val="3"/>
            <w:vMerge w:val="continue"/>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640" w:type="dxa"/>
            <w:vAlign w:val="bottom"/>
            <w:gridSpan w:val="4"/>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of</w:t>
            </w:r>
          </w:p>
        </w:tc>
        <w:tc>
          <w:tcPr>
            <w:tcW w:w="7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(8,400)</w:t>
            </w:r>
          </w:p>
        </w:tc>
        <w:tc>
          <w:tcPr>
            <w:tcW w:w="3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(10,080,000)</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(10,080,001)</w:t>
            </w:r>
          </w:p>
        </w:tc>
        <w:tc>
          <w:tcPr>
            <w:tcW w:w="0" w:type="dxa"/>
            <w:vAlign w:val="bottom"/>
          </w:tcPr>
          <w:p>
            <w:pPr>
              <w:spacing w:after="0"/>
              <w:rPr>
                <w:sz w:val="1"/>
                <w:szCs w:val="1"/>
                <w:color w:val="auto"/>
              </w:rPr>
            </w:pPr>
          </w:p>
        </w:tc>
      </w:tr>
      <w:tr>
        <w:trPr>
          <w:trHeight w:val="112"/>
        </w:trPr>
        <w:tc>
          <w:tcPr>
            <w:tcW w:w="17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684" w:right="3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Series A Preferred</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7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Conversion of</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Series A Preferred</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into common</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Pr>
          <w:p>
            <w:pPr>
              <w:spacing w:after="0"/>
              <w:rPr>
                <w:sz w:val="20"/>
                <w:szCs w:val="20"/>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7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Shares issued as</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consideration for</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extension of lock-</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up period</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8,698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1,156,777</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1,156,778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7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pursuant to vendor</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agreements</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210,000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7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365,742</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365,742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7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Treasury stock</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acquired, at cost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(7,168)</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(7,168)</w:t>
            </w:r>
          </w:p>
        </w:tc>
        <w:tc>
          <w:tcPr>
            <w:tcW w:w="0" w:type="dxa"/>
            <w:vAlign w:val="bottom"/>
          </w:tcPr>
          <w:p>
            <w:pPr>
              <w:spacing w:after="0"/>
              <w:rPr>
                <w:sz w:val="1"/>
                <w:szCs w:val="1"/>
                <w:color w:val="auto"/>
              </w:rPr>
            </w:pPr>
          </w:p>
        </w:tc>
      </w:tr>
      <w:tr>
        <w:trPr>
          <w:trHeight w:val="229"/>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(78,513,093)</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(78,513,093)</w:t>
            </w:r>
          </w:p>
        </w:tc>
        <w:tc>
          <w:tcPr>
            <w:tcW w:w="0" w:type="dxa"/>
            <w:vAlign w:val="bottom"/>
          </w:tcPr>
          <w:p>
            <w:pPr>
              <w:spacing w:after="0"/>
              <w:rPr>
                <w:sz w:val="1"/>
                <w:szCs w:val="1"/>
                <w:color w:val="auto"/>
              </w:rPr>
            </w:pPr>
          </w:p>
        </w:tc>
      </w:tr>
      <w:tr>
        <w:trPr>
          <w:trHeight w:val="174"/>
        </w:trPr>
        <w:tc>
          <w:tcPr>
            <w:tcW w:w="172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 June 30,</w:t>
            </w:r>
          </w:p>
        </w:tc>
        <w:tc>
          <w:tcPr>
            <w:tcW w:w="5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72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w:t>
            </w:r>
          </w:p>
        </w:tc>
        <w:tc>
          <w:tcPr>
            <w:tcW w:w="320" w:type="dxa"/>
            <w:vAlign w:val="bottom"/>
          </w:tcPr>
          <w:p>
            <w:pPr>
              <w:spacing w:after="0"/>
              <w:rPr>
                <w:sz w:val="20"/>
                <w:szCs w:val="20"/>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5,062</w:t>
            </w:r>
          </w:p>
        </w:tc>
        <w:tc>
          <w:tcPr>
            <w:tcW w:w="320" w:type="dxa"/>
            <w:vAlign w:val="bottom"/>
          </w:tcPr>
          <w:p>
            <w:pPr>
              <w:spacing w:after="0"/>
              <w:rPr>
                <w:sz w:val="20"/>
                <w:szCs w:val="20"/>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67,626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(7,168)</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107,047,023</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(86,978,221)</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20,061,642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7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Registered offering</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common stock</w:t>
            </w: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9,303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1,575,937</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1,575,938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720" w:type="dxa"/>
            <w:vAlign w:val="bottom"/>
            <w:shd w:val="clear" w:color="auto" w:fill="CCEEFF"/>
          </w:tcPr>
          <w:p>
            <w:pPr>
              <w:jc w:val="right"/>
              <w:ind w:right="1270"/>
              <w:spacing w:after="0"/>
              <w:rPr>
                <w:sz w:val="20"/>
                <w:szCs w:val="20"/>
                <w:color w:val="auto"/>
              </w:rPr>
            </w:pPr>
            <w:r>
              <w:rPr>
                <w:rFonts w:ascii="Times New Roman" w:cs="Times New Roman" w:eastAsia="Times New Roman" w:hAnsi="Times New Roman"/>
                <w:sz w:val="15"/>
                <w:szCs w:val="15"/>
                <w:color w:val="auto"/>
              </w:rPr>
              <w:t>[3]</w:t>
            </w:r>
          </w:p>
        </w:tc>
        <w:tc>
          <w:tcPr>
            <w:tcW w:w="70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16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Warrant</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modification</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181,891</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181,891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7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Redemption of</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Series A Preferred</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3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(215,048)</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(215,048)</w:t>
            </w:r>
          </w:p>
        </w:tc>
        <w:tc>
          <w:tcPr>
            <w:tcW w:w="0" w:type="dxa"/>
            <w:vAlign w:val="bottom"/>
          </w:tcPr>
          <w:p>
            <w:pPr>
              <w:spacing w:after="0"/>
              <w:rPr>
                <w:sz w:val="1"/>
                <w:szCs w:val="1"/>
                <w:color w:val="auto"/>
              </w:rPr>
            </w:pPr>
          </w:p>
        </w:tc>
      </w:tr>
      <w:tr>
        <w:trPr>
          <w:trHeight w:val="198"/>
        </w:trPr>
        <w:tc>
          <w:tcPr>
            <w:tcW w:w="17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 pre-</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funded warrants</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27,061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944</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7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Warrant inducement</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 - exercise</w:t>
            </w: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72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proceeds</w:t>
            </w:r>
            <w:r>
              <w:rPr>
                <w:rFonts w:ascii="Times New Roman" w:cs="Times New Roman" w:eastAsia="Times New Roman" w:hAnsi="Times New Roman"/>
                <w:sz w:val="29"/>
                <w:szCs w:val="29"/>
                <w:color w:val="auto"/>
                <w:vertAlign w:val="superscript"/>
              </w:rPr>
              <w:t>[4]</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20,346</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757,645</w:t>
            </w: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757,647</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17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243,045</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243,045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(2,902,403)</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(2,902,403)</w:t>
            </w:r>
          </w:p>
        </w:tc>
        <w:tc>
          <w:tcPr>
            <w:tcW w:w="0" w:type="dxa"/>
            <w:vAlign w:val="bottom"/>
          </w:tcPr>
          <w:p>
            <w:pPr>
              <w:spacing w:after="0"/>
              <w:rPr>
                <w:sz w:val="1"/>
                <w:szCs w:val="1"/>
                <w:color w:val="auto"/>
              </w:rPr>
            </w:pPr>
          </w:p>
        </w:tc>
      </w:tr>
      <w:tr>
        <w:trPr>
          <w:trHeight w:val="174"/>
        </w:trPr>
        <w:tc>
          <w:tcPr>
            <w:tcW w:w="172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 September</w:t>
            </w:r>
          </w:p>
        </w:tc>
        <w:tc>
          <w:tcPr>
            <w:tcW w:w="5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30, 2023</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5,062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124,336</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 (7,168)</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109,591,437</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(89,880,624)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19,703,659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[1]Includes gross proceeds of $827,978 less issuance costs of $427,054</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[2]Includes gross proceeds of $11,015,500 less issuance costs of $1,184,481</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[3]Includes gross proceeds of $2,099,053 less issuance costs of $523,115</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[4]Includes gross proceeds of $966,349 less issuance costs of $208,703</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60" w:type="dxa"/>
            <w:vAlign w:val="bottom"/>
            <w:gridSpan w:val="8"/>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38"/>
        </w:trPr>
        <w:tc>
          <w:tcPr>
            <w:tcW w:w="6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92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(7,991,736)</w:t>
            </w:r>
          </w:p>
        </w:tc>
        <w:tc>
          <w:tcPr>
            <w:tcW w:w="580" w:type="dxa"/>
            <w:vAlign w:val="bottom"/>
            <w:gridSpan w:val="2"/>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(84,959,446)</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in-process research and development</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69,280,171</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goodwill</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11,895,033</w:t>
            </w:r>
          </w:p>
        </w:tc>
        <w:tc>
          <w:tcPr>
            <w:tcW w:w="0" w:type="dxa"/>
            <w:vAlign w:val="bottom"/>
          </w:tcPr>
          <w:p>
            <w:pPr>
              <w:spacing w:after="0"/>
              <w:rPr>
                <w:sz w:val="1"/>
                <w:szCs w:val="1"/>
                <w:color w:val="auto"/>
              </w:rPr>
            </w:pPr>
          </w:p>
        </w:tc>
      </w:tr>
      <w:tr>
        <w:trPr>
          <w:trHeight w:val="21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544,902</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896,248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common stock pursuant to vendor agreements</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79,200</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605,200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issued as consideration for extension of lock-up period</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1,156,778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of fixed assets</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6,933</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rent expense</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7,839</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67,293</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 provision (benefit)</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9,707</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(8,883,001)</w:t>
            </w:r>
          </w:p>
        </w:tc>
        <w:tc>
          <w:tcPr>
            <w:tcW w:w="0" w:type="dxa"/>
            <w:vAlign w:val="bottom"/>
          </w:tcPr>
          <w:p>
            <w:pPr>
              <w:spacing w:after="0"/>
              <w:rPr>
                <w:sz w:val="1"/>
                <w:szCs w:val="1"/>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(52,035)</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(201,172)</w:t>
            </w:r>
          </w:p>
        </w:tc>
        <w:tc>
          <w:tcPr>
            <w:tcW w:w="0" w:type="dxa"/>
            <w:vAlign w:val="bottom"/>
          </w:tcPr>
          <w:p>
            <w:pPr>
              <w:spacing w:after="0"/>
              <w:rPr>
                <w:sz w:val="1"/>
                <w:szCs w:val="1"/>
                <w:color w:val="auto"/>
              </w:rPr>
            </w:pPr>
          </w:p>
        </w:tc>
      </w:tr>
      <w:tr>
        <w:trPr>
          <w:trHeight w:val="21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Security deposit</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46,659</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Vendor deposits</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(80,000)</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offering costs</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(30,260)</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676,178</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2,871,889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(8,656)</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(74,407)</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7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502,839</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1,122,488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7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(6,335,089)</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(5,933,467)</w:t>
            </w:r>
          </w:p>
        </w:tc>
        <w:tc>
          <w:tcPr>
            <w:tcW w:w="0" w:type="dxa"/>
            <w:vAlign w:val="bottom"/>
          </w:tcPr>
          <w:p>
            <w:pPr>
              <w:spacing w:after="0"/>
              <w:rPr>
                <w:sz w:val="1"/>
                <w:szCs w:val="1"/>
                <w:color w:val="auto"/>
              </w:rPr>
            </w:pPr>
          </w:p>
        </w:tc>
      </w:tr>
      <w:tr>
        <w:trPr>
          <w:trHeight w:val="210"/>
        </w:trPr>
        <w:tc>
          <w:tcPr>
            <w:tcW w:w="6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in public offering</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13,114,555</w:t>
            </w:r>
          </w:p>
        </w:tc>
        <w:tc>
          <w:tcPr>
            <w:tcW w:w="0" w:type="dxa"/>
            <w:vAlign w:val="bottom"/>
          </w:tcPr>
          <w:p>
            <w:pPr>
              <w:spacing w:after="0"/>
              <w:rPr>
                <w:sz w:val="1"/>
                <w:szCs w:val="1"/>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Registration and issuance costs associated with common stock issuance</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(180,142)</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(1,763,584)</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of Series A Preferred Stock</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(10,695,610)</w:t>
            </w:r>
          </w:p>
        </w:tc>
        <w:tc>
          <w:tcPr>
            <w:tcW w:w="0" w:type="dxa"/>
            <w:vAlign w:val="bottom"/>
          </w:tcPr>
          <w:p>
            <w:pPr>
              <w:spacing w:after="0"/>
              <w:rPr>
                <w:sz w:val="1"/>
                <w:szCs w:val="1"/>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(7,168)</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pre-funded warrants</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warrants</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2,672,500</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inducement offer - exercise proceeds</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827,978</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966,349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Registration and issuance costs associated with preferred stock issuance</w:t>
            </w: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3,320,336</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1,609,989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Decrease in Cash</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(3,014,753)</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(4,323,478)</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 Beginning of Period</w:t>
            </w: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3,137,674</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5,902,199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192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122,921</w:t>
            </w:r>
          </w:p>
        </w:tc>
        <w:tc>
          <w:tcPr>
            <w:tcW w:w="580" w:type="dxa"/>
            <w:vAlign w:val="bottom"/>
            <w:gridSpan w:val="2"/>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1,578,721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of formerly redeemable common stock</w:t>
            </w:r>
          </w:p>
        </w:tc>
        <w:tc>
          <w:tcPr>
            <w:tcW w:w="192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331,331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Accounts payable for deferred offering costs</w:t>
            </w:r>
          </w:p>
        </w:tc>
        <w:tc>
          <w:tcPr>
            <w:tcW w:w="780" w:type="dxa"/>
            <w:vAlign w:val="bottom"/>
            <w:tcBorders>
              <w:top w:val="single" w:sz="8" w:color="CCEEFF"/>
              <w:bottom w:val="single" w:sz="8" w:color="CCEEFF"/>
            </w:tcBorders>
            <w:vMerge w:val="restart"/>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200" w:type="dxa"/>
            <w:vAlign w:val="bottom"/>
            <w:tcBorders>
              <w:bottom w:val="single" w:sz="8" w:color="CCEEFF"/>
            </w:tcBorders>
            <w:vMerge w:val="continue"/>
          </w:tcPr>
          <w:p>
            <w:pPr>
              <w:spacing w:after="0"/>
              <w:rPr>
                <w:sz w:val="20"/>
                <w:szCs w:val="20"/>
                <w:color w:val="auto"/>
              </w:rPr>
            </w:pPr>
          </w:p>
        </w:tc>
        <w:tc>
          <w:tcPr>
            <w:tcW w:w="780" w:type="dxa"/>
            <w:vAlign w:val="bottom"/>
            <w:tcBorders>
              <w:bottom w:val="single" w:sz="8" w:color="CCEEFF"/>
            </w:tcBorders>
            <w:vMerge w:val="continue"/>
          </w:tcPr>
          <w:p>
            <w:pPr>
              <w:spacing w:after="0"/>
              <w:rPr>
                <w:sz w:val="20"/>
                <w:szCs w:val="20"/>
                <w:color w:val="auto"/>
              </w:rPr>
            </w:pPr>
          </w:p>
        </w:tc>
        <w:tc>
          <w:tcPr>
            <w:tcW w:w="1140" w:type="dxa"/>
            <w:vAlign w:val="bottom"/>
            <w:tcBorders>
              <w:bottom w:val="single" w:sz="8" w:color="auto"/>
            </w:tcBorders>
          </w:tcPr>
          <w:p>
            <w:pPr>
              <w:jc w:val="right"/>
              <w:ind w:right="9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176,870</w:t>
            </w:r>
          </w:p>
        </w:tc>
        <w:tc>
          <w:tcPr>
            <w:tcW w:w="3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5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44,892</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200" w:type="dxa"/>
            <w:vAlign w:val="bottom"/>
            <w:tcBorders>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Warrant modification - incremental value</w:t>
            </w:r>
          </w:p>
        </w:tc>
        <w:tc>
          <w:tcPr>
            <w:tcW w:w="7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9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181,891</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Warrant inducement offer - incremental value</w:t>
            </w:r>
          </w:p>
        </w:tc>
        <w:tc>
          <w:tcPr>
            <w:tcW w:w="78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140" w:type="dxa"/>
            <w:vAlign w:val="bottom"/>
            <w:tcBorders>
              <w:bottom w:val="single" w:sz="8" w:color="auto"/>
            </w:tcBorders>
          </w:tcPr>
          <w:p>
            <w:pPr>
              <w:jc w:val="right"/>
              <w:ind w:right="9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246,912</w:t>
            </w:r>
          </w:p>
        </w:tc>
        <w:tc>
          <w:tcPr>
            <w:tcW w:w="3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134,591</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Organization, Nature of Operations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 and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ZyVersa Therapeutics, Inc. (“ZyVersa” and the “Company”) is a clinical stage biopharmaceutical company leveraging proprietary technologies to develop first-in-class drugs for patients with chronic renal or inflammatory diseases with high unmet medical needs. The Company’s mission is to develop drugs that optimize health outcomes and improve patients’ quality of life.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(“GAAP”) for interim financial information. Accordingly, they do not include all of the information and disclosures required by accounting principles generally accepted in the United States of America for annual financial statements. In the opinion of management, such statements include all adjustments (consisting only of normal recurring items) which are considered necessary for a fair presentation of the unaudited condensed consolidated financial statements of the Company as of September 30, 2024 and for the three and nine months ended September 30, 2024 and 2023. The results of operations for the nine months ended September 30, 2024 are not necessarily indicative of the operating results for the full year. These unaudited condensed consolidated financial statements should be read in conjunction with the consolidated financial statements and notes thereto included in the Company’s annual report on Form 10-K for the year ended December 31, 2023, filed with the Securities and Exchange Commission (“SEC”) on March 25, 2024 and as amended on May 15, 2024.</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4, 2023, the Company effected a reverse stock split of its common stock at a ratio of 1-for-35 (the “2023 Reverse Split”). Upon the effectiveness of the 2023 Reverse Split, every 35 issued shares of common stock were reclassified and combined into one share of common stock. In addition, the number of shares of common stock issuable upon the exercise of the Company’s equity awards, convertible securities and warrants was proportionally decreased, and the corresponding conversion price or exercise price was proportionally increased. No fractional shares were issued as a result of the 2023 Reverse Split.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25, 2024, the Company effected a reverse stock split of its common stock at a ratio of 1-for-10 (the “2024 Reverse Split”). Upon the effectiveness of the 2024 Reverse Split, every 10 issued shares of common stock were reclassified and combined into one share of common stock. In addition, the number of shares of common stock issuable upon the exercise of the Company’s equity awards, convertible securities and warrants was proportionally decreased, and the corresponding conversion price or exercise price was proportionally increased. No fractional shares were issued as a result of the 2024 Reverse Split.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Accordingly, all share and per share amounts for all periods presented in these financial statements and notes thereto have been adjusted retroactively, where applicable, to reflect the 2023 Reverse Split and the 2024 Reverse Split and adjustment of the conversion price or exercise price of each outstanding equity award, convertible security and warrant as if the transaction had occurred as of the beginning of the earliest period presented. See Note 7 – Stockholders’ Permanent and Temporary Equity – Reverse Stock Split.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Going Concern and Management’s Plans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a going concern basis, which contemplates the realization of assets and the satisfaction of liabilities in the normal course of business. The condensed consolidated financial statements do not include any adjustments relating to the recoverability and classification of asset amounts or the classification of liabilities that might be necessary should the Company be unable to continue as a going concern.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 had cash of approximately $0.1 million and a working capital deficit of approximately $11.2 million. During the nine months ended September 30, 2024, the Company incurred a net loss of approximately $8.0 million and used cash in operations of approximately $6.3 million. The Company has an accumulated deficit of approximately $111.2 million as of September 30,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not yet achieved profitability and expects to continue to incur cash outflows from operations. It is expected that its research and development and general and administrative expenses will continue to increase and, as a result, the Company will eventually need to generate significant product revenues to achieve profitability.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Consequently, the Company will be required to raise additional funds through equity or debt financing. Subsequent to September 30, 2024, the Company raised an aggregate of $3.1 million from stock warrant exercises and its “at-the-market” facility. See Note 8 – Subsequent Events for additional details. Management believes that the Company has access to capital resources and continues to evaluate additional financing opportunities; however, there can be no assurance that it will be successful in securing additional capital or that the Company will be able to obtain funds on commercially acceptable terms, if at all. There is also no assurance that the amount of funds the Company might raise will enable the Company to complete its development initiatives or attain profitable operations. The aforementioned conditions raise substantial doubt about the Company’s ability to continue as a going concern for at least one year from the issuance date of these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Summary of Significant Accounting Policies‌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Since the date the Company’s December 31, 2023 financial statements were issued in its 2023 Annual Report on Form 10-K, there have been no material changes to the Company’s significant accounting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Preparation of financial statements in conformity with U.S. GAAP requires management to make estimates, judgments and assumptions that affect the amounts reported in the financial statements and the amounts disclosed in the related notes to the financial statements. The Company bases its estimates and judgments on historical experience and on various other assumptions that it believes are reasonable under the circumstances. The amounts of assets and liabilities reported in the Company’s balance sheets and the amounts of expenses reported for each of the periods presented are affected by estimates and assumptions, which are used for, but not limited to, fair value calculations for equity securities, share based compensation and acquired intangible assets, as well as establishment of valuation allowances for deferred tax assets. Certain of the Company’s estimates could be affected by external conditions, including those unique to the Company and general economic conditions. It is reasonably possible that actual results could differ from those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Deferred offering costs, which primarily consist of direct, incremental professional fees incurred in connection with a debt or equity financing, are capitalized as deferred offering costs (a non-current asset) on the balance sheet. Once the financing closes, the Company reclassifies such costs as either discounts to notes payable or as a reduction of proceeds received from equity transactions so that such costs are recorded as a reduction of additional paid-in capital. If the completion of a contemplated financing was deemed to be no longer probable, the related deferred offering costs would be charged to general and administrative expense in the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Common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by the weighted average number of vested common shares outstanding during the period. Diluted net income per common share is computed by dividing net income by the weighted average number of common and dilutive common-equivalent shares outstanding during each period.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outstanding potentially dilutive securities that have been excluded from the calculation of diluted net loss per share because to do so would be anti-dilutive: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2960" w:type="dxa"/>
            <w:vAlign w:val="bottom"/>
            <w:gridSpan w:val="4"/>
          </w:tcPr>
          <w:p>
            <w:pPr>
              <w:ind w:left="680"/>
              <w:spacing w:after="0"/>
              <w:rPr>
                <w:sz w:val="20"/>
                <w:szCs w:val="20"/>
                <w:color w:val="auto"/>
              </w:rPr>
            </w:pPr>
            <w:r>
              <w:rPr>
                <w:rFonts w:ascii="Times New Roman" w:cs="Times New Roman" w:eastAsia="Times New Roman" w:hAnsi="Times New Roman"/>
                <w:sz w:val="18"/>
                <w:szCs w:val="18"/>
                <w:b w:val="1"/>
                <w:bCs w:val="1"/>
                <w:color w:val="auto"/>
              </w:rPr>
              <w:t>As of September 30,</w:t>
            </w:r>
          </w:p>
        </w:tc>
      </w:tr>
      <w:tr>
        <w:trPr>
          <w:trHeight w:val="223"/>
        </w:trPr>
        <w:tc>
          <w:tcPr>
            <w:tcW w:w="4900" w:type="dxa"/>
            <w:vAlign w:val="bottom"/>
            <w:tcBorders>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CCEEFF"/>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bottom w:val="single" w:sz="8" w:color="CCEEFF"/>
            </w:tcBorders>
          </w:tcPr>
          <w:p>
            <w:pPr>
              <w:spacing w:after="0"/>
              <w:rPr>
                <w:sz w:val="19"/>
                <w:szCs w:val="19"/>
                <w:color w:val="auto"/>
              </w:rPr>
            </w:pPr>
          </w:p>
        </w:tc>
      </w:tr>
      <w:tr>
        <w:trPr>
          <w:trHeight w:val="236"/>
        </w:trPr>
        <w:tc>
          <w:tcPr>
            <w:tcW w:w="490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 xml:space="preserve">Warrants </w:t>
            </w:r>
            <w:r>
              <w:rPr>
                <w:rFonts w:ascii="Times New Roman" w:cs="Times New Roman" w:eastAsia="Times New Roman" w:hAnsi="Times New Roman"/>
                <w:sz w:val="27"/>
                <w:szCs w:val="27"/>
                <w:color w:val="auto"/>
                <w:vertAlign w:val="superscript"/>
              </w:rPr>
              <w:t>[1]</w:t>
            </w: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928,593</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103,929</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Options</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9,639</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10,170</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Series B Convertible Preferred Stock</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2,067</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2,067</w:t>
            </w:r>
          </w:p>
        </w:tc>
      </w:tr>
      <w:tr>
        <w:trPr>
          <w:trHeight w:val="223"/>
        </w:trPr>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940,371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116,239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0" w:hanging="223"/>
        <w:spacing w:after="0" w:line="282" w:lineRule="auto"/>
        <w:rPr>
          <w:sz w:val="20"/>
          <w:szCs w:val="20"/>
          <w:color w:val="auto"/>
        </w:rPr>
      </w:pPr>
      <w:r>
        <w:rPr>
          <w:rFonts w:ascii="Times New Roman" w:cs="Times New Roman" w:eastAsia="Times New Roman" w:hAnsi="Times New Roman"/>
          <w:sz w:val="18"/>
          <w:szCs w:val="18"/>
          <w:color w:val="auto"/>
        </w:rPr>
        <w:t>[1]As part of the InflamaCORE, LLC license agreement, warrants to purchase 342 shares of common stock are to be issued upon the satisfaction of certain milestones and, accordingly, are not included in the amount currently reported.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and operating segment. All assets and operations are in the U.S. The Company’s Chief Executive Officer, who is the chief operating decision maker, reviews financial information on an aggregate basis for purposes of allocating resources and evaluating financial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prior period balances have been reclassified from security deposits to vendor deposits on the condensed consolidated balance sheet in order to conform to the current year presentation. These reclassifications had no effect on previously reported results of operations or loss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Improvements to Reportable Segments Disclosures (Topic 280), which updates reportable segment disclosure requirements, primarily through enhanced disclosures about significant segment expenses on both an annual and interim basis. The guidance becomes effective for fiscal years beginning after December 15, 2023 and interim periods within fiscal years beginning after December 15, 2024, with early adoption permitted. Since this new ASU addresses only disclosures, the Company does not expect the adoption of this ASU to have any material effects on its financial condition, results of operations or cash flows. The Company is currently evaluating any new disclosures that may be required upon adoption of ASU 2023-07.</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744"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September 30, 2024 and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8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r>
      <w:tr>
        <w:trPr>
          <w:trHeight w:val="209"/>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L&amp;F milestone payment liability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Payroll accrual</w:t>
            </w:r>
          </w:p>
        </w:tc>
        <w:tc>
          <w:tcPr>
            <w:tcW w:w="10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979,030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668,803</w:t>
            </w:r>
          </w:p>
        </w:tc>
        <w:tc>
          <w:tcPr>
            <w:tcW w:w="4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163,269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41,969</w:t>
            </w:r>
          </w:p>
        </w:tc>
        <w:tc>
          <w:tcPr>
            <w:tcW w:w="4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Bonus accrual</w:t>
            </w:r>
          </w:p>
        </w:tc>
        <w:tc>
          <w:tcPr>
            <w:tcW w:w="10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1,107,812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536,500</w:t>
            </w:r>
          </w:p>
        </w:tc>
        <w:tc>
          <w:tcPr>
            <w:tcW w:w="40" w:type="dxa"/>
            <w:vAlign w:val="bottom"/>
          </w:tcPr>
          <w:p>
            <w:pPr>
              <w:spacing w:after="0"/>
              <w:rPr>
                <w:sz w:val="18"/>
                <w:szCs w:val="18"/>
                <w:color w:val="auto"/>
              </w:rPr>
            </w:pPr>
          </w:p>
        </w:tc>
      </w:tr>
      <w:tr>
        <w:trPr>
          <w:trHeight w:val="270"/>
        </w:trPr>
        <w:tc>
          <w:tcPr>
            <w:tcW w:w="488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Registration delay liability </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7,261</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7,261</w:t>
            </w:r>
          </w:p>
        </w:tc>
        <w:tc>
          <w:tcPr>
            <w:tcW w:w="40" w:type="dxa"/>
            <w:vAlign w:val="bottom"/>
            <w:shd w:val="clear" w:color="auto" w:fill="CCEEFF"/>
          </w:tcPr>
          <w:p>
            <w:pPr>
              <w:spacing w:after="0"/>
              <w:rPr>
                <w:sz w:val="23"/>
                <w:szCs w:val="23"/>
                <w:color w:val="auto"/>
              </w:rPr>
            </w:pPr>
          </w:p>
        </w:tc>
      </w:tr>
      <w:tr>
        <w:trPr>
          <w:trHeight w:val="22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2,257,372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1,754,533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  See Note 7 - Stockholders’ Permanent and Temporary Equity for details of the registration delay liability.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 Income Taxes</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and the effective tax rate were as follows: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23"/>
        </w:trPr>
        <w:tc>
          <w:tcPr>
            <w:tcW w:w="4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2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r>
      <w:tr>
        <w:trPr>
          <w:trHeight w:val="238"/>
        </w:trPr>
        <w:tc>
          <w:tcPr>
            <w:tcW w:w="4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9"/>
                <w:szCs w:val="19"/>
                <w:color w:val="auto"/>
              </w:rPr>
            </w:pPr>
          </w:p>
        </w:tc>
      </w:tr>
      <w:tr>
        <w:trPr>
          <w:trHeight w:val="210"/>
        </w:trPr>
        <w:tc>
          <w:tcPr>
            <w:tcW w:w="4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(9,707)</w:t>
            </w:r>
          </w:p>
        </w:tc>
        <w:tc>
          <w:tcPr>
            <w:tcW w:w="3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8,859,762</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(0.12)%</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tax provisions for the nine months ended September 30, 2024 and 2023 were computed using the estimated effective tax rates applicable to the taxable jurisdictions for the full year. The Company’s tax rate is subject to management’s quarterly review and revision, as necessary. The Company’s effective tax rate was (0.12)% and 9.44% for the nine months ended September 30, 2024 and 2023, respectively. The decrease in the quarterly rates is primarily the result of the Company recording a full valuation allowance during the nine months ended September 30, 2024 due to the reversal of a significant deferred tax liability that existed as of September 30,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Litigations, Claims and Assessments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may be involved in legal proceedings, claims and assessments arising in the ordinary course of business. The Company records contingent liabilities resulting from such claims, if any, when a loss is assessed to be probable and the amount of the loss is reasonably estimable.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Disputed Vendor Invoices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30, 2024 and July 1, 2024, the Company received two invoices from a vendor in the amounts of $992,176 and $162,800, respectively. The June 30, 2024 invoice represents retroactive interest on invoices going back to September 30, 2022. The July 1, 2024 invoice consisted of miscellaneous unsupported charges performed over the past several years. On August 1, 2024, ZyVersa management sent the vendor a letter disputing these invoices and has requested the vendor to rescind each of them. The Company received additional invoices dated July 31, 2024, August 31, 2024, and September 30, 2024 in the amounts of $76,453, $81,826, and $87,481, respectively. Similar to the prior invoices, management has requested the vendor to rescind each of them. Although the Company has requested the vendor to rescind each of them, the Company believes that in accordance with the agreement, the vendor can legally charge the Company interest from the point they were notified. As such, the Company included the calculated interest from July 1, 2024 to September 30, 2024 of $131,300 within accrued expenses and other current liabilities on the condensed consolidated balance sheet at September 30, 2024.</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L&amp;F Research LLC</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 License Agreement with L&amp;F Research LLC (“L&amp;F”) effective December 15, 2015, as amended (the “L&amp;F License Agreement”) pursuant to which L&amp;F granted the Company an exclusive royalty-bearing, worldwide, sublicensable license under the patent and intellectual property rights and know-how specific to and for the development and commercialization of VAR 200, for the treatment, inhibition or prevention of kidney disease in humans and symptoms thereof, including focal segmental glomerulosclerosis.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28, 2023, the Company and L&amp;F executed an Amendment and Restatement Agreement that waived L&amp;F’s right to terminate the L&amp;F License Agreement or any other remedies, for non-payment of the First Milestone Payment, until (a) March 31, 2023 as to $1,000,000 of such milestone payments (“Waiver A”) and (b) January 31, 2024 as to $500,000 milestone payments (“Waiver B”). Waiver A was contingent upon (i) forgiveness by the Company of $351,579 in aggregate principal amount outstanding under a certain convertible note, and (ii) a cash payment by the Company to L&amp;F in the amount of $648,421, on or before March 31, 2023. Waiver B was contingent upon a cash payment by the Company to L&amp;F in the amount of $500,000 on or before the earlier of (x) January 31, 2024, and (y) ten business days from the date that the Company received net proceeds of at least $30,000,000 from the issuance of new equity capital. All other terms of the L&amp;F License remain in effect.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29, 2023, the Company paid the $648,421 of cash to L&amp;F, thus meeting the conditions of Waiver A, which also had the effect of canceling the Note Receivable and the Put Option and resulted in a reclassification of 188 shares of common stock and $331,331 classified as temporary equity to permanent equity.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30, 2024, the Company paid $500,000 of cash to L&amp;F, thus meeting the conditions of Waiver B.</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18, 2019, the Company entered into a lease agreement for approximately 3,500 square feet of office space in Weston, Florida for a term of five years. Under the lease agreement, the annual base rent, which excludes the Company’s share of taxes and operating costs, was approximately $89,000 for the first year and has increased approximately 3% every year thereafter for a total base rent lease commitment of approximately $497,000. On January 15, 2024, the Company extended the lease for an additional year for a total base rent lease commitment of $112,064. The Company used the short-term lease practical expedient which permits the Company to not capitalize leases with a term equal to or less than 12 months.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right-of-use asset amortization of $0 and $7,839 in connection with its operating lease for the three and nine months ending September 30, 2024, respectively, and the Company recognized rent expense of $42,696 and $127,439 in connection with its operating lease for the three and nine months ending September 30, 2024,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right-of-use amortization of $38,885 and $116,083 in connection with its operating lease for the three and nine months ending September 30, 2023,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right-of-use assets and liabilities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40" w:type="dxa"/>
            <w:vAlign w:val="bottom"/>
            <w:gridSpan w:val="6"/>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1140" w:type="dxa"/>
            <w:vAlign w:val="bottom"/>
          </w:tcPr>
          <w:p>
            <w:pPr>
              <w:spacing w:after="0"/>
              <w:rPr>
                <w:sz w:val="19"/>
                <w:szCs w:val="19"/>
                <w:color w:val="auto"/>
              </w:rPr>
            </w:pPr>
          </w:p>
        </w:tc>
      </w:tr>
      <w:tr>
        <w:trPr>
          <w:trHeight w:val="238"/>
        </w:trPr>
        <w:tc>
          <w:tcPr>
            <w:tcW w:w="5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3"/>
        </w:trPr>
        <w:tc>
          <w:tcPr>
            <w:tcW w:w="5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9"/>
        </w:trPr>
        <w:tc>
          <w:tcPr>
            <w:tcW w:w="5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9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used in operating activities</w:t>
            </w:r>
          </w:p>
        </w:tc>
        <w:tc>
          <w:tcPr>
            <w:tcW w:w="208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8,656</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74,405</w:t>
            </w:r>
          </w:p>
        </w:tc>
        <w:tc>
          <w:tcPr>
            <w:tcW w:w="114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2080" w:type="dxa"/>
            <w:vAlign w:val="bottom"/>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r>
      <w:tr>
        <w:trPr>
          <w:trHeight w:val="216"/>
        </w:trPr>
        <w:tc>
          <w:tcPr>
            <w:tcW w:w="5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9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0.34 Years</w:t>
            </w:r>
          </w:p>
        </w:tc>
        <w:tc>
          <w:tcPr>
            <w:tcW w:w="114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9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140" w:type="dxa"/>
            <w:vAlign w:val="bottom"/>
          </w:tcPr>
          <w:p>
            <w:pPr>
              <w:spacing w:after="0"/>
              <w:rPr>
                <w:sz w:val="18"/>
                <w:szCs w:val="18"/>
                <w:color w:val="auto"/>
              </w:rPr>
            </w:pPr>
          </w:p>
        </w:tc>
      </w:tr>
      <w:tr>
        <w:trPr>
          <w:trHeight w:val="432"/>
        </w:trPr>
        <w:tc>
          <w:tcPr>
            <w:tcW w:w="5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8</w:t>
            </w:r>
          </w:p>
        </w:tc>
        <w:tc>
          <w:tcPr>
            <w:tcW w:w="1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Stockholders’ Permanent and Temporary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25, 2024, the Company effected the 2024 Reverse Split. Upon the effectiveness of the 2024 Reverse Split, every 10 issued shares of common stock were reclassified and combined into one share of common stock. In addition, the number of shares of common stock issuable upon the exercise of the Company’s equity awards, convertible securities and warrants was proportionally decreased, and the corresponding conversion price or exercise price was proportionally increased. No fractional shares were issued as a result of the 2024 Reverse Split. See Note 1 – Business Organization, Nature of Operations and Basis of Presentation for additional details.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January 2, 2024, the Company entered into a marketing agreement with a vendor in which the Company issued an aggregate of 9,000 shares of common stock and cash in exchange for marketing services. The $79,200 fair value of the common stock was established as a prepaid expense and the Company recognized the expense over the six month contract term.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Temporary Equity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6 – Commitments and Contingencies – License Agreements for discussion of the movement of temporary equity to permanent equity on March 29,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2024 the Company recorded stock-based compensation expense of $160,665 (of which, $15,447 was included in research and development and $145,218 was included in general and administrative expense) related to options issued to employees and consultants. For the three months ended September 30, 2023 the Company recorded stock-based compensation expense of $243,045 (of which, ($38,224) was included in research and development expense and $281,269 was included in general and administrative expense) related to options issued to employees and consultants.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2024 the Company recorded stock-based compensation expense of $544,902 (of which, $46,342 was included in research and development expense and $498,560 was included in general and administrative expense) related to options issued to employees and consultants. For the nine months ended September 30, 2023 the Company recorded stock-based compensation expense of $896,249 (of which, $117,320 was included in research and development expense and $778,929 was included in general and administrative expense) related to options issued to employees and consultants. As of September 30, 2024 there was $482,559 of unrecognized stock-based compensation expense, which the Company expects to recognize over a weighted average period of 1.3 years.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grant date fair value of stock options granted during the nine months ended September 30, 2024 and 2023 was determined using the Black Scholes method, with the following assumptions used: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80" w:type="dxa"/>
            <w:vAlign w:val="bottom"/>
          </w:tcPr>
          <w:p>
            <w:pPr>
              <w:spacing w:after="0"/>
              <w:rPr>
                <w:sz w:val="19"/>
                <w:szCs w:val="19"/>
                <w:color w:val="auto"/>
              </w:rPr>
            </w:pPr>
          </w:p>
        </w:tc>
        <w:tc>
          <w:tcPr>
            <w:tcW w:w="35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338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4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560" w:type="dxa"/>
            <w:vAlign w:val="bottom"/>
            <w:gridSpan w:val="4"/>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0" w:type="dxa"/>
            <w:vAlign w:val="bottom"/>
          </w:tcPr>
          <w:p>
            <w:pPr>
              <w:spacing w:after="0"/>
              <w:rPr>
                <w:sz w:val="20"/>
                <w:szCs w:val="20"/>
                <w:color w:val="auto"/>
              </w:rPr>
            </w:pPr>
          </w:p>
        </w:tc>
        <w:tc>
          <w:tcPr>
            <w:tcW w:w="2380" w:type="dxa"/>
            <w:vAlign w:val="bottom"/>
            <w:gridSpan w:val="4"/>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4280" w:type="dxa"/>
            <w:vAlign w:val="bottom"/>
          </w:tcPr>
          <w:p>
            <w:pPr>
              <w:spacing w:after="0"/>
              <w:rPr>
                <w:sz w:val="19"/>
                <w:szCs w:val="19"/>
                <w:color w:val="auto"/>
              </w:rPr>
            </w:pPr>
          </w:p>
        </w:tc>
        <w:tc>
          <w:tcPr>
            <w:tcW w:w="102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40" w:type="dxa"/>
            <w:vAlign w:val="bottom"/>
            <w:tcBorders>
              <w:top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19"/>
                <w:szCs w:val="19"/>
                <w:color w:val="auto"/>
              </w:rPr>
            </w:pPr>
          </w:p>
        </w:tc>
        <w:tc>
          <w:tcPr>
            <w:tcW w:w="100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20" w:type="dxa"/>
            <w:vAlign w:val="bottom"/>
            <w:tcBorders>
              <w:top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9"/>
                <w:szCs w:val="19"/>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 on date of grant</w:t>
            </w:r>
          </w:p>
        </w:tc>
        <w:tc>
          <w:tcPr>
            <w:tcW w:w="102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4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4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$0.44 - $2.23</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2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3.53% - 4.27%</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0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23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2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120% - 123%</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10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23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432"/>
        </w:trPr>
        <w:tc>
          <w:tcPr>
            <w:tcW w:w="4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option activity for the nine months ended September 30, 2024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30"/>
        </w:trPr>
        <w:tc>
          <w:tcPr>
            <w:tcW w:w="3860" w:type="dxa"/>
            <w:vAlign w:val="bottom"/>
          </w:tcPr>
          <w:p>
            <w:pPr>
              <w:spacing w:after="0"/>
              <w:rPr>
                <w:sz w:val="19"/>
                <w:szCs w:val="19"/>
                <w:color w:val="auto"/>
              </w:rPr>
            </w:pPr>
          </w:p>
        </w:tc>
        <w:tc>
          <w:tcPr>
            <w:tcW w:w="16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19"/>
                <w:szCs w:val="19"/>
                <w:color w:val="auto"/>
              </w:rPr>
            </w:pPr>
          </w:p>
        </w:tc>
        <w:tc>
          <w:tcPr>
            <w:tcW w:w="14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Life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3860" w:type="dxa"/>
            <w:vAlign w:val="bottom"/>
          </w:tcPr>
          <w:p>
            <w:pPr>
              <w:spacing w:after="0"/>
              <w:rPr>
                <w:sz w:val="20"/>
                <w:szCs w:val="20"/>
                <w:color w:val="auto"/>
              </w:rPr>
            </w:pP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00" w:type="dxa"/>
            <w:vAlign w:val="bottom"/>
          </w:tcPr>
          <w:p>
            <w:pPr>
              <w:spacing w:after="0"/>
              <w:rPr>
                <w:sz w:val="20"/>
                <w:szCs w:val="20"/>
                <w:color w:val="auto"/>
              </w:rPr>
            </w:pPr>
          </w:p>
        </w:tc>
        <w:tc>
          <w:tcPr>
            <w:tcW w:w="14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09"/>
        </w:trPr>
        <w:tc>
          <w:tcPr>
            <w:tcW w:w="386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2024</w:t>
            </w:r>
          </w:p>
        </w:tc>
        <w:tc>
          <w:tcPr>
            <w:tcW w:w="1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10,243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2,218.51</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(604)</w:t>
            </w:r>
          </w:p>
        </w:tc>
        <w:tc>
          <w:tcPr>
            <w:tcW w:w="200" w:type="dxa"/>
            <w:vAlign w:val="bottom"/>
          </w:tcPr>
          <w:p>
            <w:pPr>
              <w:spacing w:after="0"/>
              <w:rPr>
                <w:sz w:val="19"/>
                <w:szCs w:val="19"/>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1,760.50</w:t>
            </w: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September 30, 2024</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9,639</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2,247.21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38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September 30, 2024</w:t>
            </w:r>
          </w:p>
        </w:tc>
        <w:tc>
          <w:tcPr>
            <w:tcW w:w="1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6,797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2,986.26</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related to stock options as of September 30,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3800" w:type="dxa"/>
            <w:vAlign w:val="bottom"/>
            <w:gridSpan w:val="4"/>
          </w:tcPr>
          <w:p>
            <w:pPr>
              <w:jc w:val="right"/>
              <w:ind w:right="138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3700" w:type="dxa"/>
            <w:vAlign w:val="bottom"/>
            <w:gridSpan w:val="5"/>
          </w:tcPr>
          <w:p>
            <w:pPr>
              <w:ind w:left="1040"/>
              <w:spacing w:after="0"/>
              <w:rPr>
                <w:sz w:val="20"/>
                <w:szCs w:val="20"/>
                <w:color w:val="auto"/>
              </w:rPr>
            </w:pPr>
            <w:r>
              <w:rPr>
                <w:rFonts w:ascii="Times New Roman" w:cs="Times New Roman" w:eastAsia="Times New Roman" w:hAnsi="Times New Roman"/>
                <w:sz w:val="18"/>
                <w:szCs w:val="18"/>
                <w:b w:val="1"/>
                <w:bCs w:val="1"/>
                <w:color w:val="auto"/>
              </w:rPr>
              <w:t>Options Exercisable</w:t>
            </w:r>
          </w:p>
        </w:tc>
      </w:tr>
      <w:tr>
        <w:trPr>
          <w:trHeight w:val="187"/>
        </w:trPr>
        <w:tc>
          <w:tcPr>
            <w:tcW w:w="3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tcBorders>
              <w:top w:val="single" w:sz="8" w:color="auto"/>
            </w:tcBorders>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7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7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r>
      <w:tr>
        <w:trPr>
          <w:trHeight w:val="230"/>
        </w:trPr>
        <w:tc>
          <w:tcPr>
            <w:tcW w:w="360" w:type="dxa"/>
            <w:vAlign w:val="bottom"/>
          </w:tcPr>
          <w:p>
            <w:pPr>
              <w:spacing w:after="0"/>
              <w:rPr>
                <w:sz w:val="19"/>
                <w:szCs w:val="19"/>
                <w:color w:val="auto"/>
              </w:rPr>
            </w:pPr>
          </w:p>
        </w:tc>
        <w:tc>
          <w:tcPr>
            <w:tcW w:w="174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Remaining Life</w:t>
            </w:r>
          </w:p>
        </w:tc>
        <w:tc>
          <w:tcPr>
            <w:tcW w:w="17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38"/>
        </w:trPr>
        <w:tc>
          <w:tcPr>
            <w:tcW w:w="360" w:type="dxa"/>
            <w:vAlign w:val="bottom"/>
          </w:tcPr>
          <w:p>
            <w:pPr>
              <w:spacing w:after="0"/>
              <w:rPr>
                <w:sz w:val="20"/>
                <w:szCs w:val="20"/>
                <w:color w:val="auto"/>
              </w:rPr>
            </w:pPr>
          </w:p>
        </w:tc>
        <w:tc>
          <w:tcPr>
            <w:tcW w:w="174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7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Options</w:t>
            </w:r>
          </w:p>
        </w:tc>
      </w:tr>
      <w:tr>
        <w:trPr>
          <w:trHeight w:val="209"/>
        </w:trPr>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152.50</w:t>
            </w:r>
          </w:p>
        </w:tc>
        <w:tc>
          <w:tcPr>
            <w:tcW w:w="24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2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w w:val="88"/>
              </w:rPr>
              <w:t>8.6</w:t>
            </w:r>
          </w:p>
        </w:tc>
        <w:tc>
          <w:tcPr>
            <w:tcW w:w="2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738.50</w:t>
            </w:r>
          </w:p>
        </w:tc>
        <w:tc>
          <w:tcPr>
            <w:tcW w:w="2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286</w:t>
            </w:r>
          </w:p>
        </w:tc>
        <w:tc>
          <w:tcPr>
            <w:tcW w:w="192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8.3</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40" w:type="dxa"/>
            <w:vAlign w:val="bottom"/>
          </w:tcPr>
          <w:p>
            <w:pPr>
              <w:spacing w:after="0"/>
              <w:rPr>
                <w:sz w:val="18"/>
                <w:szCs w:val="18"/>
                <w:color w:val="auto"/>
              </w:rPr>
            </w:pPr>
          </w:p>
        </w:tc>
      </w:tr>
      <w:tr>
        <w:trPr>
          <w:trHeight w:val="216"/>
        </w:trPr>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791.00</w:t>
            </w:r>
          </w:p>
        </w:tc>
        <w:tc>
          <w:tcPr>
            <w:tcW w:w="2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w:t>
            </w:r>
          </w:p>
        </w:tc>
        <w:tc>
          <w:tcPr>
            <w:tcW w:w="192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8.4</w:t>
            </w: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shd w:val="clear" w:color="auto" w:fill="CCEEFF"/>
          </w:tcPr>
          <w:p>
            <w:pPr>
              <w:spacing w:after="0"/>
              <w:rPr>
                <w:sz w:val="18"/>
                <w:szCs w:val="18"/>
                <w:color w:val="auto"/>
              </w:rPr>
            </w:pPr>
          </w:p>
        </w:tc>
      </w:tr>
      <w:tr>
        <w:trPr>
          <w:trHeight w:val="216"/>
        </w:trPr>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1,760.50</w:t>
            </w:r>
          </w:p>
        </w:tc>
        <w:tc>
          <w:tcPr>
            <w:tcW w:w="2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1,306</w:t>
            </w:r>
          </w:p>
        </w:tc>
        <w:tc>
          <w:tcPr>
            <w:tcW w:w="192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2.1</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1,306</w:t>
            </w:r>
          </w:p>
        </w:tc>
        <w:tc>
          <w:tcPr>
            <w:tcW w:w="40" w:type="dxa"/>
            <w:vAlign w:val="bottom"/>
          </w:tcPr>
          <w:p>
            <w:pPr>
              <w:spacing w:after="0"/>
              <w:rPr>
                <w:sz w:val="18"/>
                <w:szCs w:val="18"/>
                <w:color w:val="auto"/>
              </w:rPr>
            </w:pPr>
          </w:p>
        </w:tc>
      </w:tr>
      <w:tr>
        <w:trPr>
          <w:trHeight w:val="216"/>
        </w:trPr>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3,965.50</w:t>
            </w:r>
          </w:p>
        </w:tc>
        <w:tc>
          <w:tcPr>
            <w:tcW w:w="2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w:t>
            </w:r>
          </w:p>
        </w:tc>
        <w:tc>
          <w:tcPr>
            <w:tcW w:w="192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7.7</w:t>
            </w: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shd w:val="clear" w:color="auto" w:fill="CCEEFF"/>
          </w:tcPr>
          <w:p>
            <w:pPr>
              <w:spacing w:after="0"/>
              <w:rPr>
                <w:sz w:val="18"/>
                <w:szCs w:val="18"/>
                <w:color w:val="auto"/>
              </w:rPr>
            </w:pPr>
          </w:p>
        </w:tc>
      </w:tr>
      <w:tr>
        <w:trPr>
          <w:trHeight w:val="216"/>
        </w:trPr>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4,053.00</w:t>
            </w:r>
          </w:p>
        </w:tc>
        <w:tc>
          <w:tcPr>
            <w:tcW w:w="2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2,095</w:t>
            </w:r>
          </w:p>
        </w:tc>
        <w:tc>
          <w:tcPr>
            <w:tcW w:w="192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4.5</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2,095</w:t>
            </w:r>
          </w:p>
        </w:tc>
        <w:tc>
          <w:tcPr>
            <w:tcW w:w="40" w:type="dxa"/>
            <w:vAlign w:val="bottom"/>
          </w:tcPr>
          <w:p>
            <w:pPr>
              <w:spacing w:after="0"/>
              <w:rPr>
                <w:sz w:val="18"/>
                <w:szCs w:val="18"/>
                <w:color w:val="auto"/>
              </w:rPr>
            </w:pPr>
          </w:p>
        </w:tc>
      </w:tr>
      <w:tr>
        <w:trPr>
          <w:trHeight w:val="230"/>
        </w:trPr>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5,726.00</w:t>
            </w:r>
          </w:p>
        </w:tc>
        <w:tc>
          <w:tcPr>
            <w:tcW w:w="2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1,720</w:t>
            </w:r>
          </w:p>
        </w:tc>
        <w:tc>
          <w:tcPr>
            <w:tcW w:w="192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6.7</w:t>
            </w: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1,576</w:t>
            </w:r>
          </w:p>
        </w:tc>
        <w:tc>
          <w:tcPr>
            <w:tcW w:w="40" w:type="dxa"/>
            <w:vAlign w:val="bottom"/>
            <w:shd w:val="clear" w:color="auto" w:fill="CCEEFF"/>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9,639</w:t>
            </w:r>
          </w:p>
        </w:tc>
        <w:tc>
          <w:tcPr>
            <w:tcW w:w="240" w:type="dxa"/>
            <w:vAlign w:val="bottom"/>
          </w:tcPr>
          <w:p>
            <w:pPr>
              <w:spacing w:after="0"/>
              <w:rPr>
                <w:sz w:val="19"/>
                <w:szCs w:val="19"/>
                <w:color w:val="auto"/>
              </w:rPr>
            </w:pPr>
          </w:p>
        </w:tc>
        <w:tc>
          <w:tcPr>
            <w:tcW w:w="192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5.7</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Warrants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Between February 26, 2024 and March 6, 2024, investors in the public offering completed on December 11, 2023 (the “December 2023 Offering”) exercised warrants to purchase 213,800 shares of common stock at an exercise price of $12.50 per share for total proceeds of $2,672,500.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Between January 17 and February 23, 2024, a December 2023 Offering investor exercised pre-funded warrants to purchase 131,500 shares of common stock on a cashless basis to purchase 131,481 shares of common stock at an exercise price of $0.001 per share.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 2024, the Company initiated a limited time program, which was immediately accepted by the warrant holder, that permitted the holder to exercise its December 2023 Offering warrants at a reduced exercise price of $3.46 per share and granted new warrants to purchase up to (i) 392,000 shares of common stock which became exercisable upon stockholder approval with an exercise term of five years and (ii) 86,600 shares of common stock which became exercisable upon stockholder approval with an exercise term of 18 months. The Company received stockholder approval for the warrants on October 29, 2024 and the warrants have an exercise price of $3.46 per share. Under the program, the warrant holder submitted an exercise notice and the related aggregate cash exercise price to purchase 239,300 shares of common stock on August 1, 2024 for gross proceeds of $827,978 less issuance costs of $427,054. Issuance costs included placement agent fees of $50,000, placement agent legal fees of $50,000, Company legal fees of $57,267, other expenses of $22,875 and warrant modification costs of $246,912. Because the modification represented a short-term inducement, modification accounting was only performed on the warrants that were actually exercised under the program. The Company recognized the $246,912 modification date incremental value of the modified warrants and additional warrants issued as compared to the original warrants, as an issuance cost of the warrant exercise.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issuance date fair value of stock warrants issued during the three and nine months ended September 30, 2024 and 2023 was determined using the Black Scholes method, with the following assumptions used: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80" w:type="dxa"/>
            <w:vAlign w:val="bottom"/>
            <w:gridSpan w:val="4"/>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40" w:type="dxa"/>
            <w:vAlign w:val="bottom"/>
          </w:tcPr>
          <w:p>
            <w:pPr>
              <w:spacing w:after="0"/>
              <w:rPr>
                <w:sz w:val="19"/>
                <w:szCs w:val="19"/>
                <w:color w:val="auto"/>
              </w:rPr>
            </w:pPr>
          </w:p>
        </w:tc>
        <w:tc>
          <w:tcPr>
            <w:tcW w:w="318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4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80" w:type="dxa"/>
            <w:vAlign w:val="bottom"/>
            <w:gridSpan w:val="4"/>
          </w:tcPr>
          <w:p>
            <w:pPr>
              <w:jc w:val="right"/>
              <w:ind w:right="14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0"/>
                <w:szCs w:val="20"/>
                <w:color w:val="auto"/>
              </w:rPr>
            </w:pPr>
          </w:p>
        </w:tc>
        <w:tc>
          <w:tcPr>
            <w:tcW w:w="3180" w:type="dxa"/>
            <w:vAlign w:val="bottom"/>
            <w:gridSpan w:val="4"/>
          </w:tcPr>
          <w:p>
            <w:pPr>
              <w:jc w:val="right"/>
              <w:ind w:right="124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42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top w:val="single" w:sz="8" w:color="auto"/>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top w:val="single" w:sz="8" w:color="auto"/>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19"/>
                <w:szCs w:val="19"/>
                <w:color w:val="auto"/>
              </w:rPr>
            </w:pPr>
          </w:p>
        </w:tc>
      </w:tr>
      <w:tr>
        <w:trPr>
          <w:trHeight w:val="21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 on date of grant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$47.50 - $57.75</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$47.50 - $350.00</w:t>
            </w:r>
          </w:p>
        </w:tc>
        <w:tc>
          <w:tcPr>
            <w:tcW w:w="16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2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 - 4.62%</w:t>
            </w: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4.09% - 4.42%</w:t>
            </w:r>
          </w:p>
        </w:tc>
        <w:tc>
          <w:tcPr>
            <w:tcW w:w="24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3.62% - 4.62%</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3.51% - 4.42%</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0.9 - 5.5 years</w:t>
            </w:r>
          </w:p>
        </w:tc>
        <w:tc>
          <w:tcPr>
            <w:tcW w:w="18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4.9 - 5.5 years</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0.9 - 5.5 years</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 - 113%</w:t>
            </w: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121% - 123%</w:t>
            </w:r>
          </w:p>
        </w:tc>
        <w:tc>
          <w:tcPr>
            <w:tcW w:w="24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 - 113%</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 - 123%</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18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warrant activity for the nine months ended September 30, 2024,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30"/>
        </w:trPr>
        <w:tc>
          <w:tcPr>
            <w:tcW w:w="3860" w:type="dxa"/>
            <w:vAlign w:val="bottom"/>
          </w:tcPr>
          <w:p>
            <w:pPr>
              <w:spacing w:after="0"/>
              <w:rPr>
                <w:sz w:val="19"/>
                <w:szCs w:val="19"/>
                <w:color w:val="auto"/>
              </w:rPr>
            </w:pPr>
          </w:p>
        </w:tc>
        <w:tc>
          <w:tcPr>
            <w:tcW w:w="16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19"/>
                <w:szCs w:val="19"/>
                <w:color w:val="auto"/>
              </w:rPr>
            </w:pPr>
          </w:p>
        </w:tc>
        <w:tc>
          <w:tcPr>
            <w:tcW w:w="14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Life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3860" w:type="dxa"/>
            <w:vAlign w:val="bottom"/>
          </w:tcPr>
          <w:p>
            <w:pPr>
              <w:spacing w:after="0"/>
              <w:rPr>
                <w:sz w:val="20"/>
                <w:szCs w:val="20"/>
                <w:color w:val="auto"/>
              </w:rPr>
            </w:pPr>
          </w:p>
        </w:tc>
        <w:tc>
          <w:tcPr>
            <w:tcW w:w="16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200" w:type="dxa"/>
            <w:vAlign w:val="bottom"/>
          </w:tcPr>
          <w:p>
            <w:pPr>
              <w:spacing w:after="0"/>
              <w:rPr>
                <w:sz w:val="20"/>
                <w:szCs w:val="20"/>
                <w:color w:val="auto"/>
              </w:rPr>
            </w:pPr>
          </w:p>
        </w:tc>
        <w:tc>
          <w:tcPr>
            <w:tcW w:w="14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09"/>
        </w:trPr>
        <w:tc>
          <w:tcPr>
            <w:tcW w:w="386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57"/>
        </w:trPr>
        <w:tc>
          <w:tcPr>
            <w:tcW w:w="38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Outstanding, January 1, 2024 </w:t>
            </w:r>
            <w:r>
              <w:rPr>
                <w:rFonts w:ascii="Times New Roman" w:cs="Times New Roman" w:eastAsia="Times New Roman" w:hAnsi="Times New Roman"/>
                <w:sz w:val="29"/>
                <w:szCs w:val="29"/>
                <w:color w:val="auto"/>
                <w:vertAlign w:val="superscript"/>
              </w:rPr>
              <w:t>[1]</w:t>
            </w:r>
          </w:p>
        </w:tc>
        <w:tc>
          <w:tcPr>
            <w:tcW w:w="1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903,320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123.44</w:t>
            </w: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1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478,600</w:t>
            </w:r>
          </w:p>
        </w:tc>
        <w:tc>
          <w:tcPr>
            <w:tcW w:w="2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3.46</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(227)</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4,053</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7"/>
        </w:trPr>
        <w:tc>
          <w:tcPr>
            <w:tcW w:w="386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Exercised </w:t>
            </w:r>
            <w:r>
              <w:rPr>
                <w:rFonts w:ascii="Times New Roman" w:cs="Times New Roman" w:eastAsia="Times New Roman" w:hAnsi="Times New Roman"/>
                <w:sz w:val="29"/>
                <w:szCs w:val="29"/>
                <w:color w:val="auto"/>
                <w:vertAlign w:val="superscript"/>
              </w:rPr>
              <w:t>[2]</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(453,100)</w:t>
            </w:r>
          </w:p>
        </w:tc>
        <w:tc>
          <w:tcPr>
            <w:tcW w:w="200" w:type="dxa"/>
            <w:vAlign w:val="bottom"/>
          </w:tcPr>
          <w:p>
            <w:pPr>
              <w:spacing w:after="0"/>
              <w:rPr>
                <w:sz w:val="22"/>
                <w:szCs w:val="22"/>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7.73</w:t>
            </w: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6"/>
        </w:trPr>
        <w:tc>
          <w:tcPr>
            <w:tcW w:w="386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Repriced - Old </w:t>
            </w:r>
            <w:r>
              <w:rPr>
                <w:rFonts w:ascii="Times New Roman" w:cs="Times New Roman" w:eastAsia="Times New Roman" w:hAnsi="Times New Roman"/>
                <w:sz w:val="29"/>
                <w:szCs w:val="29"/>
                <w:color w:val="auto"/>
                <w:vertAlign w:val="superscript"/>
              </w:rPr>
              <w:t>[3]</w:t>
            </w:r>
          </w:p>
        </w:tc>
        <w:tc>
          <w:tcPr>
            <w:tcW w:w="1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(239,300)</w:t>
            </w:r>
          </w:p>
        </w:tc>
        <w:tc>
          <w:tcPr>
            <w:tcW w:w="20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12.50</w:t>
            </w: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70"/>
        </w:trPr>
        <w:tc>
          <w:tcPr>
            <w:tcW w:w="386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Repriced - New </w:t>
            </w:r>
            <w:r>
              <w:rPr>
                <w:rFonts w:ascii="Times New Roman" w:cs="Times New Roman" w:eastAsia="Times New Roman" w:hAnsi="Times New Roman"/>
                <w:sz w:val="29"/>
                <w:szCs w:val="29"/>
                <w:color w:val="auto"/>
                <w:vertAlign w:val="superscript"/>
              </w:rPr>
              <w:t>[3]</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239,300</w:t>
            </w:r>
          </w:p>
        </w:tc>
        <w:tc>
          <w:tcPr>
            <w:tcW w:w="200" w:type="dxa"/>
            <w:vAlign w:val="bottom"/>
          </w:tcPr>
          <w:p>
            <w:pPr>
              <w:spacing w:after="0"/>
              <w:rPr>
                <w:sz w:val="23"/>
                <w:szCs w:val="23"/>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3.46</w:t>
            </w: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23"/>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September 30, 2024</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928,593</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114.83</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38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September 30, 2024</w:t>
            </w:r>
          </w:p>
        </w:tc>
        <w:tc>
          <w:tcPr>
            <w:tcW w:w="1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928,393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114.48</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outstanding exclude 131,500 pre-funded warrants, issued in the December 2023 Offering, outstanding with an exercise price of $0.001.</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exercised exclude 131,500 pre-funded warrants, issued in the December 2023 Offering, exercised with an exercise price of $0.001.</w:t>
      </w:r>
    </w:p>
    <w:p>
      <w:pPr>
        <w:spacing w:after="0" w:line="22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represent the reset of the exercise price of certain December 11, 2023 Series A and Series B warrants to purchase 239,300 shares of common stock to a price of $3.46 per share.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related to stock warrants as of September 30,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3800" w:type="dxa"/>
            <w:vAlign w:val="bottom"/>
            <w:gridSpan w:val="4"/>
          </w:tcPr>
          <w:p>
            <w:pPr>
              <w:jc w:val="right"/>
              <w:ind w:right="1320"/>
              <w:spacing w:after="0"/>
              <w:rPr>
                <w:sz w:val="20"/>
                <w:szCs w:val="20"/>
                <w:color w:val="auto"/>
              </w:rPr>
            </w:pPr>
            <w:r>
              <w:rPr>
                <w:rFonts w:ascii="Times New Roman" w:cs="Times New Roman" w:eastAsia="Times New Roman" w:hAnsi="Times New Roman"/>
                <w:sz w:val="18"/>
                <w:szCs w:val="18"/>
                <w:b w:val="1"/>
                <w:bCs w:val="1"/>
                <w:color w:val="auto"/>
              </w:rPr>
              <w:t>Warrants Outstanding</w:t>
            </w:r>
          </w:p>
        </w:tc>
        <w:tc>
          <w:tcPr>
            <w:tcW w:w="3700" w:type="dxa"/>
            <w:vAlign w:val="bottom"/>
            <w:gridSpan w:val="5"/>
          </w:tcPr>
          <w:p>
            <w:pPr>
              <w:ind w:left="980"/>
              <w:spacing w:after="0"/>
              <w:rPr>
                <w:sz w:val="20"/>
                <w:szCs w:val="20"/>
                <w:color w:val="auto"/>
              </w:rPr>
            </w:pPr>
            <w:r>
              <w:rPr>
                <w:rFonts w:ascii="Times New Roman" w:cs="Times New Roman" w:eastAsia="Times New Roman" w:hAnsi="Times New Roman"/>
                <w:sz w:val="18"/>
                <w:szCs w:val="18"/>
                <w:b w:val="1"/>
                <w:bCs w:val="1"/>
                <w:color w:val="auto"/>
              </w:rPr>
              <w:t>Warrants Exercisable</w:t>
            </w:r>
          </w:p>
        </w:tc>
      </w:tr>
      <w:tr>
        <w:trPr>
          <w:trHeight w:val="187"/>
        </w:trPr>
        <w:tc>
          <w:tcPr>
            <w:tcW w:w="3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240" w:type="dxa"/>
            <w:vAlign w:val="bottom"/>
          </w:tcPr>
          <w:p>
            <w:pPr>
              <w:spacing w:after="0"/>
              <w:rPr>
                <w:sz w:val="16"/>
                <w:szCs w:val="16"/>
                <w:color w:val="auto"/>
              </w:rPr>
            </w:pPr>
          </w:p>
        </w:tc>
        <w:tc>
          <w:tcPr>
            <w:tcW w:w="1920" w:type="dxa"/>
            <w:vAlign w:val="bottom"/>
            <w:tcBorders>
              <w:top w:val="single" w:sz="8" w:color="auto"/>
            </w:tcBorders>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7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Exercisable</w:t>
            </w:r>
          </w:p>
        </w:tc>
        <w:tc>
          <w:tcPr>
            <w:tcW w:w="60" w:type="dxa"/>
            <w:vAlign w:val="bottom"/>
            <w:gridSpan w:val="2"/>
          </w:tcPr>
          <w:p>
            <w:pPr>
              <w:spacing w:after="0"/>
              <w:rPr>
                <w:sz w:val="16"/>
                <w:szCs w:val="16"/>
                <w:color w:val="auto"/>
              </w:rPr>
            </w:pPr>
          </w:p>
        </w:tc>
      </w:tr>
      <w:tr>
        <w:trPr>
          <w:trHeight w:val="229"/>
        </w:trPr>
        <w:tc>
          <w:tcPr>
            <w:tcW w:w="360" w:type="dxa"/>
            <w:vAlign w:val="bottom"/>
          </w:tcPr>
          <w:p>
            <w:pPr>
              <w:spacing w:after="0"/>
              <w:rPr>
                <w:sz w:val="19"/>
                <w:szCs w:val="19"/>
                <w:color w:val="auto"/>
              </w:rPr>
            </w:pPr>
          </w:p>
        </w:tc>
        <w:tc>
          <w:tcPr>
            <w:tcW w:w="174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Remaining Life</w:t>
            </w:r>
          </w:p>
        </w:tc>
        <w:tc>
          <w:tcPr>
            <w:tcW w:w="17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38"/>
        </w:trPr>
        <w:tc>
          <w:tcPr>
            <w:tcW w:w="360" w:type="dxa"/>
            <w:vAlign w:val="bottom"/>
          </w:tcPr>
          <w:p>
            <w:pPr>
              <w:spacing w:after="0"/>
              <w:rPr>
                <w:sz w:val="20"/>
                <w:szCs w:val="20"/>
                <w:color w:val="auto"/>
              </w:rPr>
            </w:pPr>
          </w:p>
        </w:tc>
        <w:tc>
          <w:tcPr>
            <w:tcW w:w="174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7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Warrants</w:t>
            </w:r>
          </w:p>
        </w:tc>
      </w:tr>
      <w:tr>
        <w:trPr>
          <w:trHeight w:val="210"/>
        </w:trPr>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4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478,600</w:t>
            </w:r>
          </w:p>
        </w:tc>
        <w:tc>
          <w:tcPr>
            <w:tcW w:w="2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w w:val="88"/>
              </w:rPr>
              <w:t>4.45</w:t>
            </w:r>
          </w:p>
        </w:tc>
        <w:tc>
          <w:tcPr>
            <w:tcW w:w="2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478,600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12.50</w:t>
            </w:r>
          </w:p>
        </w:tc>
        <w:tc>
          <w:tcPr>
            <w:tcW w:w="2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346,900</w:t>
            </w:r>
          </w:p>
        </w:tc>
        <w:tc>
          <w:tcPr>
            <w:tcW w:w="19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2.75</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346,900</w:t>
            </w:r>
          </w:p>
        </w:tc>
        <w:tc>
          <w:tcPr>
            <w:tcW w:w="40" w:type="dxa"/>
            <w:vAlign w:val="bottom"/>
          </w:tcPr>
          <w:p>
            <w:pPr>
              <w:spacing w:after="0"/>
              <w:rPr>
                <w:sz w:val="18"/>
                <w:szCs w:val="18"/>
                <w:color w:val="auto"/>
              </w:rPr>
            </w:pPr>
          </w:p>
        </w:tc>
      </w:tr>
      <w:tr>
        <w:trPr>
          <w:trHeight w:val="216"/>
        </w:trPr>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47.50</w:t>
            </w:r>
          </w:p>
        </w:tc>
        <w:tc>
          <w:tcPr>
            <w:tcW w:w="2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20,347</w:t>
            </w:r>
          </w:p>
        </w:tc>
        <w:tc>
          <w:tcPr>
            <w:tcW w:w="192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4.45</w:t>
            </w: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20,347</w:t>
            </w:r>
          </w:p>
        </w:tc>
        <w:tc>
          <w:tcPr>
            <w:tcW w:w="40" w:type="dxa"/>
            <w:vAlign w:val="bottom"/>
            <w:shd w:val="clear" w:color="auto" w:fill="CCEEFF"/>
          </w:tcPr>
          <w:p>
            <w:pPr>
              <w:spacing w:after="0"/>
              <w:rPr>
                <w:sz w:val="18"/>
                <w:szCs w:val="18"/>
                <w:color w:val="auto"/>
              </w:rPr>
            </w:pPr>
          </w:p>
        </w:tc>
      </w:tr>
      <w:tr>
        <w:trPr>
          <w:trHeight w:val="216"/>
        </w:trPr>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57.75</w:t>
            </w:r>
          </w:p>
        </w:tc>
        <w:tc>
          <w:tcPr>
            <w:tcW w:w="2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19,965</w:t>
            </w:r>
          </w:p>
        </w:tc>
        <w:tc>
          <w:tcPr>
            <w:tcW w:w="19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3.77</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19,965</w:t>
            </w:r>
          </w:p>
        </w:tc>
        <w:tc>
          <w:tcPr>
            <w:tcW w:w="40" w:type="dxa"/>
            <w:vAlign w:val="bottom"/>
          </w:tcPr>
          <w:p>
            <w:pPr>
              <w:spacing w:after="0"/>
              <w:rPr>
                <w:sz w:val="18"/>
                <w:szCs w:val="18"/>
                <w:color w:val="auto"/>
              </w:rPr>
            </w:pPr>
          </w:p>
        </w:tc>
      </w:tr>
      <w:tr>
        <w:trPr>
          <w:trHeight w:val="216"/>
        </w:trPr>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350.00</w:t>
            </w:r>
          </w:p>
        </w:tc>
        <w:tc>
          <w:tcPr>
            <w:tcW w:w="2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27,551</w:t>
            </w:r>
          </w:p>
        </w:tc>
        <w:tc>
          <w:tcPr>
            <w:tcW w:w="192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3.57</w:t>
            </w: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27,551</w:t>
            </w:r>
          </w:p>
        </w:tc>
        <w:tc>
          <w:tcPr>
            <w:tcW w:w="40" w:type="dxa"/>
            <w:vAlign w:val="bottom"/>
            <w:shd w:val="clear" w:color="auto" w:fill="CCEEFF"/>
          </w:tcPr>
          <w:p>
            <w:pPr>
              <w:spacing w:after="0"/>
              <w:rPr>
                <w:sz w:val="18"/>
                <w:szCs w:val="18"/>
                <w:color w:val="auto"/>
              </w:rPr>
            </w:pPr>
          </w:p>
        </w:tc>
      </w:tr>
      <w:tr>
        <w:trPr>
          <w:trHeight w:val="216"/>
        </w:trPr>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700.00</w:t>
            </w:r>
          </w:p>
        </w:tc>
        <w:tc>
          <w:tcPr>
            <w:tcW w:w="2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13,944</w:t>
            </w:r>
          </w:p>
        </w:tc>
        <w:tc>
          <w:tcPr>
            <w:tcW w:w="19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3.20</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13,944</w:t>
            </w:r>
          </w:p>
        </w:tc>
        <w:tc>
          <w:tcPr>
            <w:tcW w:w="40" w:type="dxa"/>
            <w:vAlign w:val="bottom"/>
          </w:tcPr>
          <w:p>
            <w:pPr>
              <w:spacing w:after="0"/>
              <w:rPr>
                <w:sz w:val="18"/>
                <w:szCs w:val="18"/>
                <w:color w:val="auto"/>
              </w:rPr>
            </w:pPr>
          </w:p>
        </w:tc>
      </w:tr>
      <w:tr>
        <w:trPr>
          <w:trHeight w:val="216"/>
        </w:trPr>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1,760.50</w:t>
            </w:r>
          </w:p>
        </w:tc>
        <w:tc>
          <w:tcPr>
            <w:tcW w:w="2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300</w:t>
            </w:r>
          </w:p>
        </w:tc>
        <w:tc>
          <w:tcPr>
            <w:tcW w:w="192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0.10</w:t>
            </w: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shd w:val="clear" w:color="auto" w:fill="CCEEFF"/>
          </w:tcPr>
          <w:p>
            <w:pPr>
              <w:spacing w:after="0"/>
              <w:rPr>
                <w:sz w:val="18"/>
                <w:szCs w:val="18"/>
                <w:color w:val="auto"/>
              </w:rPr>
            </w:pPr>
          </w:p>
        </w:tc>
      </w:tr>
      <w:tr>
        <w:trPr>
          <w:trHeight w:val="216"/>
        </w:trPr>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2,415.00</w:t>
            </w:r>
          </w:p>
        </w:tc>
        <w:tc>
          <w:tcPr>
            <w:tcW w:w="2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3,651</w:t>
            </w:r>
          </w:p>
        </w:tc>
        <w:tc>
          <w:tcPr>
            <w:tcW w:w="19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3.20</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3,651</w:t>
            </w:r>
          </w:p>
        </w:tc>
        <w:tc>
          <w:tcPr>
            <w:tcW w:w="40" w:type="dxa"/>
            <w:vAlign w:val="bottom"/>
          </w:tcPr>
          <w:p>
            <w:pPr>
              <w:spacing w:after="0"/>
              <w:rPr>
                <w:sz w:val="18"/>
                <w:szCs w:val="18"/>
                <w:color w:val="auto"/>
              </w:rPr>
            </w:pPr>
          </w:p>
        </w:tc>
      </w:tr>
      <w:tr>
        <w:trPr>
          <w:trHeight w:val="229"/>
        </w:trPr>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4,025.00</w:t>
            </w:r>
          </w:p>
        </w:tc>
        <w:tc>
          <w:tcPr>
            <w:tcW w:w="2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17,335</w:t>
            </w:r>
          </w:p>
        </w:tc>
        <w:tc>
          <w:tcPr>
            <w:tcW w:w="192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3.20</w:t>
            </w: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17,335</w:t>
            </w:r>
          </w:p>
        </w:tc>
        <w:tc>
          <w:tcPr>
            <w:tcW w:w="40" w:type="dxa"/>
            <w:vAlign w:val="bottom"/>
            <w:shd w:val="clear" w:color="auto" w:fill="CCEEFF"/>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928,593</w:t>
            </w:r>
          </w:p>
        </w:tc>
        <w:tc>
          <w:tcPr>
            <w:tcW w:w="240" w:type="dxa"/>
            <w:vAlign w:val="bottom"/>
          </w:tcPr>
          <w:p>
            <w:pPr>
              <w:spacing w:after="0"/>
              <w:rPr>
                <w:sz w:val="19"/>
                <w:szCs w:val="19"/>
                <w:color w:val="auto"/>
              </w:rPr>
            </w:pPr>
          </w:p>
        </w:tc>
        <w:tc>
          <w:tcPr>
            <w:tcW w:w="19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3.73</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928,393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Effectiveness Failure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with Larkspur Health Acquisition Corp., the Company conducted the Series A Preferred Stock Financing. On or about February 20, 2023, the Company failed to have the SEC declare a registration statement effective (the “Effectiveness Failure”) which covered the Series A Preferred Stock registrable securities within the time period prescribed by the Securities Purchase Agreement (the “SPA”). The SPA entitles the investors to receive registration delay payments (“Registration Delay Payments”) equal to 1.5% of each investor’s purchase price on the date of the Effectiveness Failure and every thirty days thereafter that the Effectiveness Failure persists. Failure to make the Registration Delay Payments on a timely basis result in the accrual of interest at the rate of 2.0% per month. On April 28, 2023, the proceeds from the April 2023 Offering were used to make most of the Registration Delay Payments and redeem substantially all of the Series A Preferred Stock. As of September 30, 2024, the Company has accrued additional Registration Delay Payments of approximately $7,261 in the aggregate.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At-The-Market Offering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 to September 30, 2024, the Company received approximately $1.39 million in gross proceeds from the sale of 564,495 shares of its common stock pursuant to its ATM Agreement with A.G.P. for its “at-the-market” facility.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Subsequent to September 30, 2024, the Company entered into marketing agreements with two vendors, pursuant to which the Company issued an aggregate of 51,000 shares of common stock in exchange for marketing services. The fair value of the common stock was established as a prepaid expense and the Company is recognizing $47,670 of the expense over the six month term of one of the contracts and $69,000 of the expense over the three month term of the other contract.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5, 2024, the Company initiated a limited time program, which was immediately accepted by warrant holders, that permitted the holders to exercise 339,900 of its December 2023 and 478,600 of its August 2024 Common Stock Purchase warrants at a reduced exercise price of $2.06 per share from $12.50 and $3.46 per share, respectively. New warrants were granted to purchase 1,637,000 shares of common stock at an exercise price of $2.06 per share with an exercise term of 5 years from stockholder approval.</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program, the warrant holders submitted exercise notices and the related aggregate cash exercise price to purchase an aggregate of 818,500 shares of common stock on November 5, 2024 for gross proceeds of $1,686,110. However, due to beneficial ownership limitations, only 654,500 of the 818,500 shares of common stock have been issued through the filing date. The remaining 164,000 unissued shares of common stock are held in abeyance pending availability under the beneficial ownership limitations. Issuance costs include financial advisor fees of $110,000 and reimbursement to the financial advisor for non-accountable fees of $10,000.</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results of operations and financial condition of ZyVersa Therapeutics, Inc. (the “Company,” “we,” “us” or “our”) as of September 30, 2024 and for the three and nine months ended September 30, 2024 and 2023 should be read in conjunction with our unaudited condensed consolidated financial statements and the notes to those financial statements that are included elsewhere in this Quarterly Report on Form 10-Q. This discussion and analysis should be read in conjunction with the Company’s audited financial statements and related disclosures as of December 31, 2023 and for the year then ended, which are included in the Form 10-K (the “Annual Report”) filed with the Securities and Exchange Commission (“SEC”) on March 25, 2024, as amended on May 15, 2024. This Management’s Discussion and Analysis of Financial Condition and Results of Operations contains statements that are forward-looking. These statements are based on current expectations and assumptions that are subject to risk, uncertainties and other factors. These statements are often identified by the use of words such as “may,” “will,” “expect,” “believe,” “anticipate,” “intend,” “could,” “estimate,” or “continue,” and similar expressions or variations. Actual results could differ materially because of the factors discussed in “Risk Factors” in our Annual Report, and other factors that we may not know. Except as otherwise required by applicable law, we disclaim any duty to update any forward-looking statements, all of which are expressly qualified by the statements above, to reflect events or circumstances after the date of this Quarterly Report on Form 10-Q.</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We are a clinical stage specialty biopharmaceutical company leveraging advanced proprietary technologies to develop first-in-class drugs for patients with inflammatory or kidney diseases with high unmet medical needs. We are well positioned in the rapidly emerging inflammasome space with a highly differentiated monoclonal antibody, Inflammasome ASC Inhibitor IC 100, and in kidney disease with phase 2 Cholesterol Efflux Mediator</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VAR</w:t>
      </w:r>
    </w:p>
    <w:p>
      <w:pPr>
        <w:spacing w:after="0" w:line="2" w:lineRule="exact"/>
        <w:rPr>
          <w:sz w:val="20"/>
          <w:szCs w:val="20"/>
          <w:color w:val="auto"/>
        </w:rPr>
      </w:pPr>
    </w:p>
    <w:p>
      <w:pPr>
        <w:ind w:firstLine="8"/>
        <w:spacing w:after="0" w:line="258" w:lineRule="auto"/>
        <w:tabs>
          <w:tab w:leader="none" w:pos="37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lead indication for IC 100 is obesity and its associated metabolic complications, and for VAR 200, focal segmental glomerulosclerosis (FSGS). Each therapeutic area offers a “pipeline within a product,” with potential for numerous indications. The total accessible market is over $100 billion.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 to date and have incurred significant operating losses. Our net losses were $8.0 million for the period from January 1, 2024 through September 30, 2024, compared to $85.0 million for the period from January 1, 2023 through September 30, 2023. As of September 30, 2024, we had an accumulated deficit of approximately $111.2 million and cash of $0.1 million. We expect to continue to incur significant expenses for the foreseeable future and to incur operating losses. We expect our expenses will increase in connection with our ongoing activities as we:</w:t>
      </w:r>
    </w:p>
    <w:p>
      <w:pPr>
        <w:spacing w:after="0" w:line="180" w:lineRule="exact"/>
        <w:rPr>
          <w:sz w:val="20"/>
          <w:szCs w:val="20"/>
          <w:color w:val="auto"/>
        </w:rPr>
      </w:pPr>
    </w:p>
    <w:p>
      <w:pPr>
        <w:ind w:left="1340" w:hanging="671"/>
        <w:spacing w:after="0"/>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development of VAR 200 and IC 100;</w:t>
      </w:r>
    </w:p>
    <w:p>
      <w:pPr>
        <w:spacing w:after="0" w:line="225" w:lineRule="exact"/>
        <w:rPr>
          <w:rFonts w:ascii="Times New Roman" w:cs="Times New Roman" w:eastAsia="Times New Roman" w:hAnsi="Times New Roman"/>
          <w:sz w:val="18"/>
          <w:szCs w:val="18"/>
          <w:color w:val="auto"/>
        </w:rPr>
      </w:pPr>
    </w:p>
    <w:p>
      <w:pPr>
        <w:ind w:left="1340" w:hanging="671"/>
        <w:spacing w:after="0"/>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regulatory submissions;</w:t>
      </w:r>
    </w:p>
    <w:p>
      <w:pPr>
        <w:spacing w:after="0" w:line="225" w:lineRule="exact"/>
        <w:rPr>
          <w:rFonts w:ascii="Times New Roman" w:cs="Times New Roman" w:eastAsia="Times New Roman" w:hAnsi="Times New Roman"/>
          <w:sz w:val="18"/>
          <w:szCs w:val="18"/>
          <w:color w:val="auto"/>
        </w:rPr>
      </w:pPr>
    </w:p>
    <w:p>
      <w:pPr>
        <w:ind w:left="1340" w:hanging="671"/>
        <w:spacing w:after="0"/>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 to manufacture our product candidates for clinical trials;</w:t>
      </w:r>
    </w:p>
    <w:p>
      <w:pPr>
        <w:spacing w:after="0" w:line="225" w:lineRule="exact"/>
        <w:rPr>
          <w:rFonts w:ascii="Times New Roman" w:cs="Times New Roman" w:eastAsia="Times New Roman" w:hAnsi="Times New Roman"/>
          <w:sz w:val="18"/>
          <w:szCs w:val="18"/>
          <w:color w:val="auto"/>
        </w:rPr>
      </w:pPr>
    </w:p>
    <w:p>
      <w:pPr>
        <w:ind w:left="1340" w:hanging="671"/>
        <w:spacing w:after="0"/>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research and development, finance, and general and administrative personnel;</w:t>
      </w:r>
    </w:p>
    <w:p>
      <w:pPr>
        <w:spacing w:after="0" w:line="225" w:lineRule="exact"/>
        <w:rPr>
          <w:rFonts w:ascii="Times New Roman" w:cs="Times New Roman" w:eastAsia="Times New Roman" w:hAnsi="Times New Roman"/>
          <w:sz w:val="18"/>
          <w:szCs w:val="18"/>
          <w:color w:val="auto"/>
        </w:rPr>
      </w:pPr>
    </w:p>
    <w:p>
      <w:pPr>
        <w:ind w:left="1340" w:hanging="671"/>
        <w:spacing w:after="0"/>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and defend our intellectual property; and</w:t>
      </w:r>
    </w:p>
    <w:p>
      <w:pPr>
        <w:spacing w:after="0" w:line="225" w:lineRule="exact"/>
        <w:rPr>
          <w:rFonts w:ascii="Times New Roman" w:cs="Times New Roman" w:eastAsia="Times New Roman" w:hAnsi="Times New Roman"/>
          <w:sz w:val="18"/>
          <w:szCs w:val="18"/>
          <w:color w:val="auto"/>
        </w:rPr>
      </w:pPr>
    </w:p>
    <w:p>
      <w:pPr>
        <w:ind w:left="1340" w:hanging="671"/>
        <w:spacing w:after="0"/>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the requirements of being a public company.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need additional financing to support our continuing operations. We will seek to fund our operations through public or private equity or debt financings or other sources, which may include government grants and collaborations with third parties.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revenues to achieve profitability, and we may never do so.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inception, we have not generated any revenue and do not expect to generate any revenue from the sale of products in the near future. If our development efforts for our product candidates are successful and result in regulatory approval, or if we enter into collaboration or license agreements with third parties, we may generate revenue in the future from a combination of product sales or payments from collaboration or license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Research and development expenses consist of costs incurred in the discovery and development of our product candidates, and primarily include:</w:t>
      </w:r>
    </w:p>
    <w:p>
      <w:pPr>
        <w:spacing w:after="0" w:line="225" w:lineRule="exact"/>
        <w:rPr>
          <w:sz w:val="20"/>
          <w:szCs w:val="20"/>
          <w:color w:val="auto"/>
        </w:rPr>
      </w:pPr>
    </w:p>
    <w:p>
      <w:pPr>
        <w:ind w:left="1340" w:right="20" w:hanging="671"/>
        <w:spacing w:after="0" w:line="282" w:lineRule="auto"/>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third party agreements with contract research organizations (“CROs”), and investigative sites, that conducted or will conduct our clinical trials and a portion of our pre-clinical activities;</w:t>
      </w:r>
    </w:p>
    <w:p>
      <w:pPr>
        <w:spacing w:after="0" w:line="161" w:lineRule="exact"/>
        <w:rPr>
          <w:rFonts w:ascii="Times New Roman" w:cs="Times New Roman" w:eastAsia="Times New Roman" w:hAnsi="Times New Roman"/>
          <w:sz w:val="18"/>
          <w:szCs w:val="18"/>
          <w:color w:val="auto"/>
        </w:rPr>
      </w:pPr>
    </w:p>
    <w:p>
      <w:pPr>
        <w:ind w:left="1340" w:hanging="671"/>
        <w:spacing w:after="0"/>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raw materials, as well as manufacturing cost of our materials used in clinical trials and other development testing;</w:t>
      </w:r>
    </w:p>
    <w:p>
      <w:pPr>
        <w:spacing w:after="0" w:line="225" w:lineRule="exact"/>
        <w:rPr>
          <w:rFonts w:ascii="Times New Roman" w:cs="Times New Roman" w:eastAsia="Times New Roman" w:hAnsi="Times New Roman"/>
          <w:sz w:val="18"/>
          <w:szCs w:val="18"/>
          <w:color w:val="auto"/>
        </w:rPr>
      </w:pPr>
    </w:p>
    <w:p>
      <w:pPr>
        <w:ind w:left="1340" w:hanging="671"/>
        <w:spacing w:after="0"/>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salaries, stock-based compensation and benefits of employees engaged in research and development activities;</w:t>
      </w:r>
    </w:p>
    <w:p>
      <w:pPr>
        <w:spacing w:after="0" w:line="225" w:lineRule="exact"/>
        <w:rPr>
          <w:rFonts w:ascii="Times New Roman" w:cs="Times New Roman" w:eastAsia="Times New Roman" w:hAnsi="Times New Roman"/>
          <w:sz w:val="18"/>
          <w:szCs w:val="18"/>
          <w:color w:val="auto"/>
        </w:rPr>
      </w:pPr>
    </w:p>
    <w:p>
      <w:pPr>
        <w:ind w:left="1340" w:hanging="671"/>
        <w:spacing w:after="0"/>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equipment, depreciation and other allocated expenses; and</w:t>
      </w:r>
    </w:p>
    <w:p>
      <w:pPr>
        <w:spacing w:after="0" w:line="225" w:lineRule="exact"/>
        <w:rPr>
          <w:rFonts w:ascii="Times New Roman" w:cs="Times New Roman" w:eastAsia="Times New Roman" w:hAnsi="Times New Roman"/>
          <w:sz w:val="18"/>
          <w:szCs w:val="18"/>
          <w:color w:val="auto"/>
        </w:rPr>
      </w:pPr>
    </w:p>
    <w:p>
      <w:pPr>
        <w:ind w:left="1340" w:right="20" w:hanging="671"/>
        <w:spacing w:after="0" w:line="282" w:lineRule="auto"/>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for contracted regulatory services as well as fees paid to regulatory authorities including the U.S. Food and Drug Administration (the “FDA”) for review and approval of our product candidates.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expenses or accrued expenses.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expect that our research and development expenses will continue to increase for the foreseeable future as we continue clinical development for our product candidates. As products enter later stages of clinical development, they will generally have higher development costs than those in earlier stages of clinical development, primarily due to the increased size and duration of later-stage clinical trials. Historically, our research and development costs have primarily related to the development of VAR 200 and IC 100. As we advance VAR 200 and IC 100, as well as identify any other potential product candidates, we will continue to allocate our direct external research and development costs to the products. We expect to fund our research and development expenses from our current cash and cash equivalents and any future equity or debt financings, or other capital sources, including potential collaborations with other companies or other strategic transactions.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At this time, we cannot reasonably estimate or know the nature, timing and costs of the efforts that will be necessary to complete the remainder of the development of, or when, if ever, material net cash inflows may commence from our product candidates. This uncertainty is due to the numerous risks and uncertainties associated with the duration and cost of clinical trials, which vary significantly over the life of a project as a result of many factors, including:</w:t>
      </w:r>
    </w:p>
    <w:p>
      <w:pPr>
        <w:spacing w:after="0" w:line="180" w:lineRule="exact"/>
        <w:rPr>
          <w:sz w:val="20"/>
          <w:szCs w:val="20"/>
          <w:color w:val="auto"/>
        </w:rPr>
      </w:pPr>
    </w:p>
    <w:p>
      <w:pPr>
        <w:ind w:left="1340" w:hanging="671"/>
        <w:spacing w:after="0"/>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sites included in the clinical trials;</w:t>
      </w:r>
    </w:p>
    <w:p>
      <w:pPr>
        <w:spacing w:after="0" w:line="225" w:lineRule="exact"/>
        <w:rPr>
          <w:rFonts w:ascii="Times New Roman" w:cs="Times New Roman" w:eastAsia="Times New Roman" w:hAnsi="Times New Roman"/>
          <w:sz w:val="18"/>
          <w:szCs w:val="18"/>
          <w:color w:val="auto"/>
        </w:rPr>
      </w:pPr>
    </w:p>
    <w:p>
      <w:pPr>
        <w:ind w:left="1340" w:hanging="671"/>
        <w:spacing w:after="0"/>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suitable patients;</w:t>
      </w:r>
    </w:p>
    <w:p>
      <w:pPr>
        <w:spacing w:after="0" w:line="225" w:lineRule="exact"/>
        <w:rPr>
          <w:rFonts w:ascii="Times New Roman" w:cs="Times New Roman" w:eastAsia="Times New Roman" w:hAnsi="Times New Roman"/>
          <w:sz w:val="18"/>
          <w:szCs w:val="18"/>
          <w:color w:val="auto"/>
        </w:rPr>
      </w:pPr>
    </w:p>
    <w:p>
      <w:pPr>
        <w:ind w:left="1340" w:hanging="671"/>
        <w:spacing w:after="0"/>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patient populations participating in the clinical trials;</w:t>
      </w:r>
    </w:p>
    <w:p>
      <w:pPr>
        <w:spacing w:after="0" w:line="225" w:lineRule="exact"/>
        <w:rPr>
          <w:rFonts w:ascii="Times New Roman" w:cs="Times New Roman" w:eastAsia="Times New Roman" w:hAnsi="Times New Roman"/>
          <w:sz w:val="18"/>
          <w:szCs w:val="18"/>
          <w:color w:val="auto"/>
        </w:rPr>
      </w:pPr>
    </w:p>
    <w:p>
      <w:pPr>
        <w:ind w:left="1340" w:hanging="671"/>
        <w:spacing w:after="0"/>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a patient receives;</w:t>
      </w:r>
    </w:p>
    <w:p>
      <w:pPr>
        <w:spacing w:after="0" w:line="225" w:lineRule="exact"/>
        <w:rPr>
          <w:rFonts w:ascii="Times New Roman" w:cs="Times New Roman" w:eastAsia="Times New Roman" w:hAnsi="Times New Roman"/>
          <w:sz w:val="18"/>
          <w:szCs w:val="18"/>
          <w:color w:val="auto"/>
        </w:rPr>
      </w:pPr>
    </w:p>
    <w:p>
      <w:pPr>
        <w:ind w:left="1340" w:hanging="671"/>
        <w:spacing w:after="0"/>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follow-ups;</w:t>
      </w:r>
    </w:p>
    <w:p>
      <w:pPr>
        <w:spacing w:after="0" w:line="225" w:lineRule="exact"/>
        <w:rPr>
          <w:rFonts w:ascii="Times New Roman" w:cs="Times New Roman" w:eastAsia="Times New Roman" w:hAnsi="Times New Roman"/>
          <w:sz w:val="18"/>
          <w:szCs w:val="18"/>
          <w:color w:val="auto"/>
        </w:rPr>
      </w:pPr>
    </w:p>
    <w:p>
      <w:pPr>
        <w:ind w:left="1340" w:hanging="671"/>
        <w:spacing w:after="0"/>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state of the product candidates; and</w:t>
      </w:r>
    </w:p>
    <w:p>
      <w:pPr>
        <w:spacing w:after="0" w:line="225" w:lineRule="exact"/>
        <w:rPr>
          <w:rFonts w:ascii="Times New Roman" w:cs="Times New Roman" w:eastAsia="Times New Roman" w:hAnsi="Times New Roman"/>
          <w:sz w:val="18"/>
          <w:szCs w:val="18"/>
          <w:color w:val="auto"/>
        </w:rPr>
      </w:pPr>
    </w:p>
    <w:p>
      <w:pPr>
        <w:ind w:left="1340" w:hanging="671"/>
        <w:spacing w:after="0"/>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expenditures are subject to additional uncertainties, including the terms and timing of regulatory approvals, and the expense of filing, prosecuting, defending and enforcing any patent claims or other intellectual property rights. We may never succeed in achieving regulatory approval for our product candidates. We may obtain unexpected results from our clinical trials. We may elect to discontinue, delay or modify clinical trials of our product candidates. A change in the outcome of any of these variables with respect to the development of a product candidate could mean a significant change in the costs and timing associated with the development of that product candidate.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Product commercialization will take several years and likely millions of dollars in development costs.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906"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stock-based compensation and related costs for our employees in administrative, executive and finance functions. General and administrative expenses also include professional fees for legal, accounting, audit, tax and consulting services, insurance, human resource, information technology, office, and travel expenses.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in the future as we increase our general and administrative headcount to support our continued research and development and potential commercialization of our product candidates. We also expect to incur substantial expenses associated with being a public company, including costs of accounting, audit, legal, regulatory and tax compliance services, director and officer insurance, and investor and public relations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2024 and the three months ended September 30, 2023</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2024 and for the three months ended September 30, 2023.</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40" w:type="dxa"/>
            <w:vAlign w:val="bottom"/>
            <w:gridSpan w:val="5"/>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20" w:type="dxa"/>
            <w:vAlign w:val="bottom"/>
            <w:gridSpan w:val="5"/>
          </w:tcPr>
          <w:p>
            <w:pPr>
              <w:jc w:val="right"/>
              <w:ind w:right="1280"/>
              <w:spacing w:after="0"/>
              <w:rPr>
                <w:sz w:val="20"/>
                <w:szCs w:val="20"/>
                <w:color w:val="auto"/>
              </w:rPr>
            </w:pPr>
            <w:r>
              <w:rPr>
                <w:rFonts w:ascii="Times New Roman" w:cs="Times New Roman" w:eastAsia="Times New Roman" w:hAnsi="Times New Roman"/>
                <w:sz w:val="18"/>
                <w:szCs w:val="18"/>
                <w:b w:val="1"/>
                <w:bCs w:val="1"/>
                <w:color w:val="auto"/>
              </w:rPr>
              <w:t>Favorable</w:t>
            </w:r>
          </w:p>
        </w:tc>
      </w:tr>
      <w:tr>
        <w:trPr>
          <w:trHeight w:val="238"/>
        </w:trPr>
        <w:tc>
          <w:tcPr>
            <w:tcW w:w="3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20" w:type="dxa"/>
            <w:vAlign w:val="bottom"/>
            <w:gridSpan w:val="5"/>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(Unfavorable)</w:t>
            </w:r>
          </w:p>
        </w:tc>
      </w:tr>
      <w:tr>
        <w:trPr>
          <w:trHeight w:val="22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gridSpan w:val="2"/>
          </w:tcPr>
          <w:p>
            <w:pPr>
              <w:spacing w:after="0"/>
              <w:rPr>
                <w:sz w:val="19"/>
                <w:szCs w:val="19"/>
                <w:color w:val="auto"/>
              </w:rPr>
            </w:pPr>
          </w:p>
        </w:tc>
      </w:tr>
      <w:tr>
        <w:trPr>
          <w:trHeight w:val="210"/>
        </w:trPr>
        <w:tc>
          <w:tcPr>
            <w:tcW w:w="3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436</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674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238</w:t>
            </w:r>
          </w:p>
        </w:tc>
        <w:tc>
          <w:tcPr>
            <w:tcW w:w="1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35.3%</w:t>
            </w:r>
          </w:p>
        </w:tc>
      </w:tr>
      <w:tr>
        <w:trPr>
          <w:trHeight w:val="229"/>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1,834</w:t>
            </w:r>
          </w:p>
        </w:tc>
        <w:tc>
          <w:tcPr>
            <w:tcW w:w="4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395</w:t>
            </w:r>
          </w:p>
        </w:tc>
        <w:tc>
          <w:tcPr>
            <w:tcW w:w="15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17.7%</w:t>
            </w:r>
          </w:p>
        </w:tc>
      </w:tr>
      <w:tr>
        <w:trPr>
          <w:trHeight w:val="210"/>
        </w:trPr>
        <w:tc>
          <w:tcPr>
            <w:tcW w:w="3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80" w:type="dxa"/>
            <w:vAlign w:val="bottom"/>
            <w:tcBorders>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79"/>
              </w:rPr>
              <w:t>%</w:t>
            </w:r>
          </w:p>
        </w:tc>
      </w:tr>
      <w:tr>
        <w:trPr>
          <w:trHeight w:val="209"/>
        </w:trPr>
        <w:tc>
          <w:tcPr>
            <w:tcW w:w="3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(2,270)</w:t>
            </w:r>
          </w:p>
        </w:tc>
        <w:tc>
          <w:tcPr>
            <w:tcW w:w="44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633</w:t>
            </w:r>
          </w:p>
        </w:tc>
        <w:tc>
          <w:tcPr>
            <w:tcW w:w="1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3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131</w:t>
            </w:r>
          </w:p>
        </w:tc>
        <w:tc>
          <w:tcPr>
            <w:tcW w:w="440" w:type="dxa"/>
            <w:vAlign w:val="bottom"/>
          </w:tcPr>
          <w:p>
            <w:pPr>
              <w:spacing w:after="0"/>
              <w:rPr>
                <w:sz w:val="19"/>
                <w:szCs w:val="19"/>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w:t>
            </w:r>
          </w:p>
        </w:tc>
        <w:tc>
          <w:tcPr>
            <w:tcW w:w="1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9"/>
        </w:trPr>
        <w:tc>
          <w:tcPr>
            <w:tcW w:w="36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Pre-tax net loss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(2,401)</w:t>
            </w:r>
          </w:p>
        </w:tc>
        <w:tc>
          <w:tcPr>
            <w:tcW w:w="44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502</w:t>
            </w:r>
          </w:p>
        </w:tc>
        <w:tc>
          <w:tcPr>
            <w:tcW w:w="1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17.3%</w:t>
            </w:r>
          </w:p>
        </w:tc>
      </w:tr>
      <w:tr>
        <w:trPr>
          <w:trHeight w:val="229"/>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8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approximately $0.4 million for the three months ended September 30, 2024, a decrease of approximately $0.2 million or 35.3% from the three months ended September 30, 2023. The decrease is primarily attributable to a decrease of $0.2 million in the manufacturing and pre-clinical costs of IC 100 and VAR 200.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approximately $1.8 million for the three months ended September 30, 2024, a decrease of approximately $0.4 million or 17.7% from the three months ended September 30, 2023. The decrease is attributable to a $0.1 million decrease in professional fees due to reduced fees of public auditors and legal counsel, a $0.2 million decrease in director and officer insurance due to reduced costs in the second year of being a public company, and a $0.1 million decrease in stock-based compensation as a result of options becoming fully amortized in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was approximately $0.1 million for the three months ended September 30, 2024, an increase of approximately $0.1 million or 100% from the three months ended September 30, 2023. The increase is primarily attributable to an increase in interest charged by a vendor for outstanding amounts owed.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2024 and the nine months ended September 30, 2023</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2024 and for the nine months ended September 30, 2023.</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3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20" w:type="dxa"/>
            <w:vAlign w:val="bottom"/>
            <w:gridSpan w:val="5"/>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20" w:type="dxa"/>
            <w:vAlign w:val="bottom"/>
            <w:gridSpan w:val="5"/>
          </w:tcPr>
          <w:p>
            <w:pPr>
              <w:jc w:val="right"/>
              <w:ind w:right="1280"/>
              <w:spacing w:after="0"/>
              <w:rPr>
                <w:sz w:val="20"/>
                <w:szCs w:val="20"/>
                <w:color w:val="auto"/>
              </w:rPr>
            </w:pPr>
            <w:r>
              <w:rPr>
                <w:rFonts w:ascii="Times New Roman" w:cs="Times New Roman" w:eastAsia="Times New Roman" w:hAnsi="Times New Roman"/>
                <w:sz w:val="18"/>
                <w:szCs w:val="18"/>
                <w:b w:val="1"/>
                <w:bCs w:val="1"/>
                <w:color w:val="auto"/>
              </w:rPr>
              <w:t>Favorable</w:t>
            </w:r>
          </w:p>
        </w:tc>
      </w:tr>
      <w:tr>
        <w:trPr>
          <w:trHeight w:val="238"/>
        </w:trPr>
        <w:tc>
          <w:tcPr>
            <w:tcW w:w="3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20" w:type="dxa"/>
            <w:vAlign w:val="bottom"/>
            <w:gridSpan w:val="5"/>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(Unfavorable)</w:t>
            </w:r>
          </w:p>
        </w:tc>
      </w:tr>
      <w:tr>
        <w:trPr>
          <w:trHeight w:val="22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gridSpan w:val="2"/>
          </w:tcPr>
          <w:p>
            <w:pPr>
              <w:spacing w:after="0"/>
              <w:rPr>
                <w:sz w:val="19"/>
                <w:szCs w:val="19"/>
                <w:color w:val="auto"/>
              </w:rPr>
            </w:pPr>
          </w:p>
        </w:tc>
      </w:tr>
      <w:tr>
        <w:trPr>
          <w:trHeight w:val="209"/>
        </w:trPr>
        <w:tc>
          <w:tcPr>
            <w:tcW w:w="3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1,658</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2,951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1,293</w:t>
            </w:r>
          </w:p>
        </w:tc>
        <w:tc>
          <w:tcPr>
            <w:tcW w:w="1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43.8%</w:t>
            </w:r>
          </w:p>
        </w:tc>
      </w:tr>
      <w:tr>
        <w:trPr>
          <w:trHeight w:val="216"/>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6,192</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9,694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3,502</w:t>
            </w:r>
          </w:p>
        </w:tc>
        <w:tc>
          <w:tcPr>
            <w:tcW w:w="15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36.1%</w:t>
            </w:r>
          </w:p>
        </w:tc>
      </w:tr>
      <w:tr>
        <w:trPr>
          <w:trHeight w:val="198"/>
        </w:trPr>
        <w:tc>
          <w:tcPr>
            <w:tcW w:w="36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Impairment of in-process research and</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development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69,280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69,280</w:t>
            </w:r>
          </w:p>
        </w:tc>
        <w:tc>
          <w:tcPr>
            <w:tcW w:w="1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goodwill</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11,895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11,895</w:t>
            </w:r>
          </w:p>
        </w:tc>
        <w:tc>
          <w:tcPr>
            <w:tcW w:w="15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r>
      <w:tr>
        <w:trPr>
          <w:trHeight w:val="209"/>
        </w:trPr>
        <w:tc>
          <w:tcPr>
            <w:tcW w:w="3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7,850</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93,820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85,970</w:t>
            </w:r>
          </w:p>
        </w:tc>
        <w:tc>
          <w:tcPr>
            <w:tcW w:w="280" w:type="dxa"/>
            <w:vAlign w:val="bottom"/>
            <w:tcBorders>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2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79"/>
              </w:rPr>
              <w:t>%</w:t>
            </w:r>
          </w:p>
        </w:tc>
      </w:tr>
      <w:tr>
        <w:trPr>
          <w:trHeight w:val="209"/>
        </w:trPr>
        <w:tc>
          <w:tcPr>
            <w:tcW w:w="3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(7,850)</w:t>
            </w:r>
          </w:p>
        </w:tc>
        <w:tc>
          <w:tcPr>
            <w:tcW w:w="44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(93,820)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85,970</w:t>
            </w:r>
          </w:p>
        </w:tc>
        <w:tc>
          <w:tcPr>
            <w:tcW w:w="1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91.6%</w:t>
            </w:r>
          </w:p>
        </w:tc>
      </w:tr>
      <w:tr>
        <w:trPr>
          <w:trHeight w:val="216"/>
        </w:trPr>
        <w:tc>
          <w:tcPr>
            <w:tcW w:w="3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132</w:t>
            </w:r>
          </w:p>
        </w:tc>
        <w:tc>
          <w:tcPr>
            <w:tcW w:w="44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133</w:t>
            </w:r>
          </w:p>
        </w:tc>
        <w:tc>
          <w:tcPr>
            <w:tcW w:w="1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13300.0%</w:t>
            </w:r>
          </w:p>
        </w:tc>
      </w:tr>
      <w:tr>
        <w:trPr>
          <w:trHeight w:val="209"/>
        </w:trPr>
        <w:tc>
          <w:tcPr>
            <w:tcW w:w="36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Pre-tax net loss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(7,982)</w:t>
            </w:r>
          </w:p>
        </w:tc>
        <w:tc>
          <w:tcPr>
            <w:tcW w:w="44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(93,819)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85,837</w:t>
            </w:r>
          </w:p>
        </w:tc>
        <w:tc>
          <w:tcPr>
            <w:tcW w:w="1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91.5%</w:t>
            </w:r>
          </w:p>
        </w:tc>
      </w:tr>
      <w:tr>
        <w:trPr>
          <w:trHeight w:val="229"/>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8,860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(8,870)</w:t>
            </w:r>
          </w:p>
        </w:tc>
        <w:tc>
          <w:tcPr>
            <w:tcW w:w="1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(7,992</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(84,959</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76,967</w:t>
            </w:r>
          </w:p>
        </w:tc>
        <w:tc>
          <w:tcPr>
            <w:tcW w:w="28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approximately $1.7 million for the nine months ended September 30, 2024, a decrease of approximately $1.3 million or 43.8% from the nine months ended September 30, 2023. The decrease is primarily attributable to a decrease of $1.2 million in the manufacturing and pre-clinical costs of IC 100 and a decrease of approximately $0.5 million in payroll expenses due to employee attrition. This was slightly offset by an increase of approximately $0.4 million in contract research organization expenses for the production of VAR 200.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were approximately $6.2 million for the nine months ended September 30, 2024, a decrease of approximately $3.5 million or 36.1% from the nine months ended September 30, 2023. The decrease is primarily attributable to $1.2 million of common stock granted to certain members of the Sponsor and recognized in 2023 in exchange for increasing the duration of the period during which they are not permitted to sell their common stock, a $0.5 million decrease in professional fees due to reduced fees related to public auditors and legal counsel, a $0.2 million decrease in marketing costs for investor and public relations as a result of a reduction in marketing vendors in 2024, and a $0.4 million decrease in expense for the Effectiveness Failure related to shares issued to investors pursuant to a securities purchase agreement in July 2022, a $0.5 million decrease in director and officer insurance due to reduced costs in the second year of being a public company, a $0.5 million decrease in payroll expenses as a result of a prior period bonus accrual recognized upon board approval and a $0.2 million for decrease in stock-based compensation as a result of options becoming fully amortized in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In-Process Research and Development and Goodwill</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2023, impairment of in-process research and development and impairment of goodwill were $69.3 million and $11.9 million, respectively. The impairment was a result of the decline in stock value and market capitalization of the Company at June 30, 2023. There was no impairment for the nine months ended September 30,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cash flows from operating and financing activities for the nine months ended September 30, 2024 and for the nine months ended September 30, 2023:</w:t>
      </w:r>
    </w:p>
    <w:p>
      <w:pPr>
        <w:sectPr>
          <w:pgSz w:w="11900" w:h="16838" w:orient="portrait"/>
          <w:cols w:equalWidth="0" w:num="1">
            <w:col w:w="11240"/>
          </w:cols>
          <w:pgMar w:left="320" w:top="4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Net cash provided by (used in)</w:t>
      </w:r>
    </w:p>
    <w:p>
      <w:pPr>
        <w:spacing w:after="0" w:line="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Net Decrease in Cash</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3020" w:type="dxa"/>
            <w:vAlign w:val="bottom"/>
            <w:gridSpan w:val="6"/>
          </w:tcPr>
          <w:p>
            <w:pPr>
              <w:jc w:val="right"/>
              <w:ind w:right="641"/>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238"/>
        </w:trPr>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(6,335)</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(5,933)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3,320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1,610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-325120</wp:posOffset>
            </wp:positionV>
            <wp:extent cx="641223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-3456940</wp:posOffset>
            </wp:positionH>
            <wp:positionV relativeFrom="paragraph">
              <wp:posOffset>-607695</wp:posOffset>
            </wp:positionV>
            <wp:extent cx="641223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602" w:lineRule="exact"/>
        <w:rPr>
          <w:sz w:val="20"/>
          <w:szCs w:val="20"/>
          <w:color w:val="auto"/>
        </w:rPr>
      </w:pPr>
    </w:p>
    <w:p>
      <w:pPr>
        <w:sectPr>
          <w:pgSz w:w="11900" w:h="16838" w:orient="portrait"/>
          <w:cols w:equalWidth="0" w:num="2">
            <w:col w:w="5300" w:space="720"/>
            <w:col w:w="5220"/>
          </w:cols>
          <w:pgMar w:left="320" w:top="468" w:right="339" w:bottom="1440" w:gutter="0" w:footer="0" w:header="0"/>
          <w:type w:val="continuous"/>
        </w:sectPr>
      </w:pPr>
    </w:p>
    <w:p>
      <w:pPr>
        <w:spacing w:after="0" w:line="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approximately $6.3 million and approximately $5.9 million for the nine months ended September 30, 2024 and 2023, respectively. For the nine months ended September 30, 2024 and 2023, the net cash used in operating activities was primarily attributable to the net loss of approximately $8.0 million and $85.0 million, respectively, offset by $0.6 million and $75.0 million, respectively, of net non-cash expenses, and approximately $1.0 million and $4.0 million, respectively, of cash generated by the levels of operating assets and liabilities,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$3.3 million and $1.6 million for the nine months ended September 30, 2024 and 2023, respectively. Cash provided by financing activities during the nine months ended September 30, 2024 primarily represented proceeds from the exercise of warrants. Cash provided by financing activities during the nine months ended September 30, 2023 primarily represented $13.1 million in proceeds from the issuance of common stock in a public offering. This was partially offset by $10.7 million in cash paid for the redemption of Series A Preferred Stock and $1.8 million in registration and issuance costs associated with common stock issuances.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total current assets, liabilities and working capital deficiency at September 30, 2024 and 2023, respectively:</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6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390</w:t>
            </w:r>
          </w:p>
        </w:tc>
        <w:tc>
          <w:tcPr>
            <w:tcW w:w="3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3,353</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260" w:type="dxa"/>
            <w:vAlign w:val="bottom"/>
            <w:tcBorders>
              <w:bottom w:val="single" w:sz="8" w:color="CCEEFF"/>
            </w:tcBorders>
            <w:gridSpan w:val="2"/>
            <w:vMerge w:val="continue"/>
          </w:tcPr>
          <w:p>
            <w:pPr>
              <w:spacing w:after="0"/>
              <w:rPr>
                <w:sz w:val="20"/>
                <w:szCs w:val="20"/>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11,542</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10,195</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260" w:type="dxa"/>
            <w:vAlign w:val="bottom"/>
            <w:tcBorders>
              <w:bottom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Working Capital Deficiency</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(11,152</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(6,842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our inception in 2014 through September 30, 2024, we have not generated any revenue and have incurred significant operating losses and negative cash flows from our operations. Based on our current operating plan, we expect our cash of $0.1 million as of September 30, 2024 will only be sufficient to fund our operating expenses and capital expenditure requirements on a month-to-month basis. However, it is difficult to predict our spending for our product candidates prior to obtaining FDA approval. Moreover, changing circumstances may cause us to expend cash significantly faster than we currently anticipate, and we may need to spend more cash than currently expected because of circumstances beyond our control.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Since inception we have been engaged in organizational activities, including raising capital and research and development activities. We have not generated revenues and have not yet achieved profitable operations, nor have we ever generated positive cash flow from operations. There is no assurance that profitable operations, if achieved, could be sustained on a continuing basis. We are subject to those risks associated with any pre-revenue stage pharmaceutical company that has substantial expenditures for research and development. There can be no assurance that our research and development projects will be successful, that products developed will obtain necessary regulatory approval, or that any approved product will be commercially viable. In addition, we operate in an environment of rapid technological change and are largely dependent on the services of our employees and consultants. Further, our future operations are dependent on the success of our efforts to raise additional capital. These uncertainties raise substantial doubt about our ability to continue as a going concern for 12 months after the issuance date of our financial statements. The accompanying financial statements have been prepared on a going concern basis. The financial statements do not include any adjustments to reflect the possible future effects on the recoverability and classification of assets or the amounts and classification of liabilities that may result from the possible inability of us to continue as a going concern, which contemplates the continuation of operations, realization of assets and liquidation of liabilities in the ordinary course of business. We incurred a net loss of $8.0 million for the nine months ended September 30, 2024 and a net loss of $85.0 million for the nine months ended September 30, 2023, and we had an accumulated deficit of $111.2 million at September 30, 2024. We anticipate incurring additional losses until such time, if ever, that we can generate significant revenue from our product candidates currently in development. Our primary source of capital has been the issuance of debt and equity securities. We believe that current cash is only sufficient to fund operations and capital requirements on a month-to-month basis. Additional financing will be needed by us to fund our operations, to complete development of and to commercially develop our product candidates. There is no assurance that such financing will be available when needed or on acceptable terms.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type w:val="continuous"/>
        </w:sectPr>
      </w:pPr>
    </w:p>
    <w:bookmarkStart w:id="21" w:name="page22"/>
    <w:bookmarkEnd w:id="21"/>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Subsequent to September 30, 2024, the Company raised an aggregate of $3.1 million from stock warrant exercises and its “at-the-market” facility with A.G.P.</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summarizes our contractual obligations as of September 30, 2024 that will affect our future liquidity. Based on our current operating plan, we plan to satisfy the obligations identified below from our current cash balance and future financing.</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Cash requirements for our current liabilities as of September 30, 2024 include approximately $11.5 million for accounts payable and accrued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Needs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September 16, 2024, we entered into a Sales Agreement (the “ATM Agreement”) with A.G.P. pursuant to which we may offer and sell shares of common stock up to an aggregate offering proceeds of $1,397,396 from time to time. Sales of our common stock under the ATM Agreement may be made in sales deemed to be an “at the market offering” as defined in Rule 415(a)(4) promulgated under the Securities Act of 1933, as amended. Subsequent to September 30, 2024, the Company raised $1.39 million in gross proceeds under the ATM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intend to raise additional capital in the future to fund continued development of VAR200 and IC100.</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to raise additional capital by issuing equity, equity-linked securities, or debt in subsequent offerings. If we are unable to raise additional capital on terms favorable to us, we may not have sufficient liquidity to execute on our business strategy. We have various warrants outstanding that can be exercised for our common stock, many of which must be exercised in exchange for cash paid to us by the holders of such warrants. If the market price of our common stock is less than the exercise price of a holder’s warrants, it is unlikely that holders will exercise their warrants. As such, we do not expect to receive significant proceeds in the near term from the exercise of most of our warrants based on the current market price of our common stock and the exercise prices of such warrants.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policy is to invest any cash in excess of our immediate requirements in investments designed to preserve the principal balance and provide liquidity while producing a modest return on investment. Accordingly, our cash equivalents will be invested primarily in money market funds.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to continue to incur substantial additional operating losses for at least the next several years as we continue to develop our product candidates and seek marketing approval and, subject to obtaining such approval, the eventual commercialization of our product candidates. If we obtain marketing approval for our product candidates, we will incur significant sales, marketing and outsourced manufacturing expenses. In addition, we expect to incur additional expenses to add operational, financial and information systems and personnel, including personnel to support our planned product commercialization efforts. We also expect to incur significant costs to comply with corporate governance, internal controls and similar requirements applicable to us as a public company.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future use of operating cash and capital requirements will depend on many forward-looking factors, including the following:</w:t>
      </w:r>
    </w:p>
    <w:p>
      <w:pPr>
        <w:spacing w:after="0" w:line="225" w:lineRule="exact"/>
        <w:rPr>
          <w:sz w:val="20"/>
          <w:szCs w:val="20"/>
          <w:color w:val="auto"/>
        </w:rPr>
      </w:pPr>
    </w:p>
    <w:p>
      <w:pPr>
        <w:ind w:left="1340" w:hanging="671"/>
        <w:spacing w:after="0"/>
        <w:tabs>
          <w:tab w:leader="none" w:pos="1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for our product candidates;</w:t>
      </w:r>
    </w:p>
    <w:p>
      <w:pPr>
        <w:spacing w:after="0" w:line="27" w:lineRule="exact"/>
        <w:rPr>
          <w:rFonts w:ascii="Times New Roman" w:cs="Times New Roman" w:eastAsia="Times New Roman" w:hAnsi="Times New Roman"/>
          <w:sz w:val="18"/>
          <w:szCs w:val="18"/>
          <w:color w:val="auto"/>
        </w:rPr>
      </w:pPr>
    </w:p>
    <w:p>
      <w:pPr>
        <w:ind w:left="1340" w:hanging="671"/>
        <w:spacing w:after="0"/>
        <w:tabs>
          <w:tab w:leader="none" w:pos="1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development plans we establish for each product candidate;</w:t>
      </w:r>
    </w:p>
    <w:p>
      <w:pPr>
        <w:spacing w:after="0" w:line="9" w:lineRule="exact"/>
        <w:rPr>
          <w:rFonts w:ascii="Times New Roman" w:cs="Times New Roman" w:eastAsia="Times New Roman" w:hAnsi="Times New Roman"/>
          <w:sz w:val="18"/>
          <w:szCs w:val="18"/>
          <w:color w:val="auto"/>
        </w:rPr>
      </w:pPr>
    </w:p>
    <w:p>
      <w:pPr>
        <w:ind w:left="1340" w:hanging="671"/>
        <w:spacing w:after="0"/>
        <w:tabs>
          <w:tab w:leader="none" w:pos="1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develop or may in-license;</w:t>
      </w:r>
    </w:p>
    <w:p>
      <w:pPr>
        <w:spacing w:after="0" w:line="9" w:lineRule="exact"/>
        <w:rPr>
          <w:rFonts w:ascii="Times New Roman" w:cs="Times New Roman" w:eastAsia="Times New Roman" w:hAnsi="Times New Roman"/>
          <w:sz w:val="18"/>
          <w:szCs w:val="18"/>
          <w:color w:val="auto"/>
        </w:rPr>
      </w:pPr>
    </w:p>
    <w:p>
      <w:pPr>
        <w:ind w:left="1340" w:hanging="671"/>
        <w:spacing w:after="0"/>
        <w:tabs>
          <w:tab w:leader="none" w:pos="1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collaboration agreements we may choose to execute;</w:t>
      </w:r>
    </w:p>
    <w:p>
      <w:pPr>
        <w:spacing w:after="0" w:line="9" w:lineRule="exact"/>
        <w:rPr>
          <w:rFonts w:ascii="Times New Roman" w:cs="Times New Roman" w:eastAsia="Times New Roman" w:hAnsi="Times New Roman"/>
          <w:sz w:val="18"/>
          <w:szCs w:val="18"/>
          <w:color w:val="auto"/>
        </w:rPr>
      </w:pPr>
    </w:p>
    <w:p>
      <w:pPr>
        <w:ind w:left="1340" w:right="20" w:hanging="671"/>
        <w:spacing w:after="0"/>
        <w:tabs>
          <w:tab w:leader="none" w:pos="1340" w:val="left"/>
        </w:tabs>
        <w:numPr>
          <w:ilvl w:val="0"/>
          <w:numId w:val="8"/>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the outcome, timing and cost of meeting regulatory requirements established by the FDA or other comparable foreign regulatory authorities;</w:t>
      </w:r>
    </w:p>
    <w:p>
      <w:pPr>
        <w:spacing w:after="0" w:line="41" w:lineRule="exact"/>
        <w:rPr>
          <w:rFonts w:ascii="Times New Roman" w:cs="Times New Roman" w:eastAsia="Times New Roman" w:hAnsi="Times New Roman"/>
          <w:sz w:val="34"/>
          <w:szCs w:val="34"/>
          <w:color w:val="auto"/>
          <w:vertAlign w:val="subscript"/>
        </w:rPr>
      </w:pPr>
    </w:p>
    <w:p>
      <w:pPr>
        <w:ind w:left="1340" w:hanging="671"/>
        <w:spacing w:after="0"/>
        <w:tabs>
          <w:tab w:leader="none" w:pos="1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our patent claims and other intellectual property rights;</w:t>
      </w:r>
    </w:p>
    <w:p>
      <w:pPr>
        <w:spacing w:after="0" w:line="9" w:lineRule="exact"/>
        <w:rPr>
          <w:rFonts w:ascii="Times New Roman" w:cs="Times New Roman" w:eastAsia="Times New Roman" w:hAnsi="Times New Roman"/>
          <w:sz w:val="18"/>
          <w:szCs w:val="18"/>
          <w:color w:val="auto"/>
        </w:rPr>
      </w:pPr>
    </w:p>
    <w:p>
      <w:pPr>
        <w:ind w:left="1340" w:hanging="671"/>
        <w:spacing w:after="0"/>
        <w:tabs>
          <w:tab w:leader="none" w:pos="1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intellectual property disputes, including patent infringement actions brought by third parties against us;</w:t>
      </w:r>
    </w:p>
    <w:p>
      <w:pPr>
        <w:spacing w:after="0" w:line="9" w:lineRule="exact"/>
        <w:rPr>
          <w:rFonts w:ascii="Times New Roman" w:cs="Times New Roman" w:eastAsia="Times New Roman" w:hAnsi="Times New Roman"/>
          <w:sz w:val="18"/>
          <w:szCs w:val="18"/>
          <w:color w:val="auto"/>
        </w:rPr>
      </w:pPr>
    </w:p>
    <w:p>
      <w:pPr>
        <w:ind w:left="1340" w:hanging="671"/>
        <w:spacing w:after="0"/>
        <w:tabs>
          <w:tab w:leader="none" w:pos="1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the implementation of commercial scale manufacturing activities; and</w:t>
      </w:r>
    </w:p>
    <w:p>
      <w:pPr>
        <w:spacing w:after="0" w:line="9" w:lineRule="exact"/>
        <w:rPr>
          <w:rFonts w:ascii="Times New Roman" w:cs="Times New Roman" w:eastAsia="Times New Roman" w:hAnsi="Times New Roman"/>
          <w:sz w:val="18"/>
          <w:szCs w:val="18"/>
          <w:color w:val="auto"/>
        </w:rPr>
      </w:pPr>
    </w:p>
    <w:p>
      <w:pPr>
        <w:ind w:left="1340" w:right="20" w:hanging="671"/>
        <w:spacing w:after="0" w:line="260" w:lineRule="auto"/>
        <w:tabs>
          <w:tab w:leader="none" w:pos="1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or outsourcing, sales, marketing and distribution capabilities for any product candidates for which we may receive regulatory approval in regions where we choose to commercialize our products on our own.</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To continue to grow our business over the longer term, we plan to commit substantial resources to research and development, clinical trials of our product candidates, and other operations and potential product acquisitions and in-licensing. We have evaluated and expect to continue to evaluate a wide array of strategic transactions as part of our plan to acquire or in-license and develop additional products and product candidates to augment our internal development pipeline. Strategic transaction opportunities that we may pursue could materially affect our liquidity and capital resources and may require us to incur additional indebtedness, seek equity capital or both. In addition, we may pursue development, acquisition or in-licensing of approved or development products in new or existing therapeutic areas or continue the expansion of our existing operations. Accordingly, we expect to continue to opportunistically seek access to additional capital to license or acquire additional products, product candidates or companies to expand our operations, or for general corporate purposes. Strategic transactions may require us to raise additional capital through one or more public or private debt or equity financings or could be structured as a collaboration or partnering arrangement. We have no arrangements, agreements, or understandings in place at the present time to enter into any acquisition, in-licensing or similar strategic business transaction. In addition, we continue to evaluate commercial collaborations and strategic relationships with established pharmaceutical companies, which would provide us with more immediate access to marketing, sales, market access and distribution infrastructure.</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raise additional funds by issuing equity securities, our stockholders will experience dilution. Debt financing, if available, would result in increased fixed payment obligations and may involve agreements that include covenants limiting or restricting our ability to take specific actions, such as incurring additional debt, making capital expenditures or declaring dividends. Any debt financing or additional equity that we raise may contain terms, such as liquidation and other preferences that are not favorable to us or our existing stockholders. If we raise additional funds through collaboration and licensing arrangements with third parties, it may be necessary to relinquish valuable rights to our technologies, future revenue streams or product candidates or to grant licenses on terms that may not be favorable to us.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42"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ZyVersa is an “emerging growth company,” as defined in the Jumpstart Our Business Startups Act of 2012, or the JOBS Act. The JOBS Act permits companies with emerging growth company status to take advantage of an extended transition period to comply with new or revised accounting standards, delaying the adoption of these accounting standards until they would apply to private companies. ZyVersa expects to use this extended transition period to enable it to comply with new or revised accounting standards that have different effective dates for public and private companies until the earlier of the date the Company (1) is no longer an emerging growth company or (2) affirmatively and irrevocably opts out of the extended transition period provided in the JOBS Act. As a result, our financial statements may not be comparable to companies that comply with the new or revised accounting standards as of public company effective dates.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the Company intends to rely on the other exemptions and reduced reporting requirements provided by the JOBS 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no off-balance sheet arrangements between us and any other entity that have, or are reasonably likely to have, a current or future effect on financial conditions, changes in financial conditions, revenues or expenses, results of operations, liquidity, capital expenditures or capital resources that is material to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in accordance with U.S. generally accepted accounting principles, which require our management to make estimates that affect the reported amounts of assets, liabilities and disclosures of contingent assets and liabilities at the balance sheet dates, as well as the reported amounts of revenues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There are items within our financial statements that require estimation but are not deemed critical, as defined above.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(who serve as our Principal Executive Officer and Principal Financial and Accounting Officer, respectively), to allow timely decisions regarding required disclosure.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September 30, 2024. Based upon their evaluation and due to the material weakness cited below, our Chief Executive Officer and Chief Financial Officer concluded that our disclosure controls and procedures (as defined in Rules 13a-15(e) and 15d-15(e) under the Exchange Act) were ineffective.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Specifically, management’s conclusion was based on the following material weakness which existed as of December 31, 2023 and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7" w:lineRule="exact"/>
        <w:rPr>
          <w:sz w:val="20"/>
          <w:szCs w:val="20"/>
          <w:color w:val="auto"/>
        </w:rPr>
      </w:pPr>
    </w:p>
    <w:p>
      <w:pPr>
        <w:ind w:left="1340" w:right="20" w:hanging="671"/>
        <w:spacing w:after="0" w:line="282" w:lineRule="auto"/>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process controls across the entity’s financial reporting processes were not effectively designed and implemented to properly address the risk of material misstatement, including controls without proper segregation of duties between preparer and reviewer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management is committed to taking further action and implementing necessary enhancements or improvements, including actions to address the material weakness identified as of December 31, 2023. Management expects to complete the development and implementation of its remediation plan during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 has implemented additional controls to address the material weakness identified as of December 31, 2023. This includes the implementation of proper segregation of duties controls between preparer and reviewer. However, the material weakness will not be deemed to be remediated until the controls have been operational for a period of time and have been verified to be operating effectively.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of the Effectiveness of Controls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Management does not expect that our disclosure controls and procedures or our internal control over financial reporting will prevent or detect all error and fraud. A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“smaller reporting company”, we are not required to provide information required by this Item. However, investors are encouraged to review our current risk factors set forth in our Annual Report on Form 10-K for the year ended December 31, 2023, filed with the SEC on March 25, 2024, as amended on May 15,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Plans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no director or officer (as defined in Rule 16a-1(f) under the Exchange Act) of the Company adopted, modified or terminated a “Rule 10b5-1 trading arrangement” or “non-Rule 10b5-1 trading arrangement,” as each term is defined in Item 408(a) of Regulation S-K.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28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69"/>
        </w:trPr>
        <w:tc>
          <w:tcPr>
            <w:tcW w:w="8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10280" w:type="dxa"/>
            <w:vAlign w:val="bottom"/>
            <w:tcBorders>
              <w:top w:val="single" w:sz="8" w:color="auto"/>
              <w:bottom w:val="single" w:sz="8" w:color="0000EE"/>
            </w:tcBorders>
            <w:gridSpan w:val="14"/>
          </w:tcPr>
          <w:p>
            <w:pPr>
              <w:spacing w:after="0" w:line="169"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Seconded Amended and Restated Certificate of Incorporation of ZyVersa Therapeutics, Inc., as amended. (incorporated by reference to</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Exhibit 3.1 of the Company’s quarterly report on Form 10-Q filed with the SEC on August 9, 2024).</w:t>
              </w:r>
            </w:hyperlink>
          </w:p>
        </w:tc>
        <w:tc>
          <w:tcPr>
            <w:tcW w:w="30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10280" w:type="dxa"/>
            <w:vAlign w:val="bottom"/>
            <w:gridSpan w:val="14"/>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Form of Series A-1 Warrant (incorporated by reference to Exhibit 4.1 of the Company’s current report on Form 8-K filed with the SEC on</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August 1, 2024).</w:t>
              </w:r>
            </w:hyperlink>
          </w:p>
        </w:tc>
        <w:tc>
          <w:tcPr>
            <w:tcW w:w="9040" w:type="dxa"/>
            <w:vAlign w:val="bottom"/>
            <w:tcBorders>
              <w:top w:val="single" w:sz="8" w:color="0000EE"/>
            </w:tcBorders>
            <w:gridSpan w:val="1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7"/>
                <w:szCs w:val="17"/>
                <w:color w:val="auto"/>
              </w:rPr>
            </w:pPr>
          </w:p>
        </w:tc>
        <w:tc>
          <w:tcPr>
            <w:tcW w:w="102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Form of Series B-1 Warrant (incorporated by reference to Exhibit 4.2 of the Company’s current report on Form 8-K filed with the SEC on</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August 1, 2024).</w:t>
              </w:r>
            </w:hyperlink>
          </w:p>
        </w:tc>
        <w:tc>
          <w:tcPr>
            <w:tcW w:w="90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7"/>
                <w:szCs w:val="17"/>
                <w:color w:val="auto"/>
              </w:rPr>
            </w:pPr>
          </w:p>
        </w:tc>
        <w:tc>
          <w:tcPr>
            <w:tcW w:w="10280" w:type="dxa"/>
            <w:vAlign w:val="bottom"/>
            <w:gridSpan w:val="14"/>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Form of Series A-2 Warrant (incorporated by reference to Exhibit 4.1 of the Company’s current report on Form 8-K filed with the SEC on</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November 6, 2024).</w:t>
              </w:r>
            </w:hyperlink>
          </w:p>
        </w:tc>
        <w:tc>
          <w:tcPr>
            <w:tcW w:w="8800" w:type="dxa"/>
            <w:vAlign w:val="bottom"/>
            <w:tcBorders>
              <w:top w:val="single" w:sz="8" w:color="0000EE"/>
            </w:tcBorders>
            <w:gridSpan w:val="1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102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Inducement Letter, dated August 1, 2024 (incorporated by reference to Exhibit 10.1 of the Company’s current report on Form 8-K filed with</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gridSpan w:val="14"/>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the SEC on August 1, 2024).</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102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Financial Advisory Agreement, dated August 1, 2024 (incorporated by reference to Exhibit 10.2 of the Company’s current report on Form 8-K</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gridSpan w:val="14"/>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filed with the SEC on August 1, 2024).</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102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Sales Agreement dated September 16, 2024, by and between ZyVersa Therapeutics, Inc., and A.G.P./Alliance Global Partners (incorporated</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gridSpan w:val="14"/>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by reference to Exhibit 1.1 of the Company’s current report on Form 8-K filed with the SEC on September 16, 2024).</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gridSpan w:val="4"/>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102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Amended and Restated ZyVersa Therapeutics, Inc. 2022 Omnibus Equity Incentive Plan (incorporated by reference to Exhibit 10.1 to the</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gridSpan w:val="14"/>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Company’s current report on Form 8-K filed with the SEC on October 30, 2024).</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gridSpan w:val="4"/>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7"/>
                <w:szCs w:val="17"/>
                <w:color w:val="auto"/>
              </w:rPr>
            </w:pPr>
          </w:p>
        </w:tc>
        <w:tc>
          <w:tcPr>
            <w:tcW w:w="102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Inducement Letter, dated November 5, 2024 (incorporated by reference to Exhibit 10.1 to the Company’s current report on Form 8-K filed</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gridSpan w:val="14"/>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with the SEC on November 6, 2024).</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gridSpan w:val="4"/>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7"/>
                <w:szCs w:val="17"/>
                <w:color w:val="auto"/>
              </w:rPr>
            </w:pPr>
          </w:p>
        </w:tc>
        <w:tc>
          <w:tcPr>
            <w:tcW w:w="102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Financial Advisory Agreement, dated November 5, 2024 (incorporated by reference to Exhibit 10.2 to the Company’s current report on Form</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gridSpan w:val="14"/>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8-K filed with the SEC on November 6, 2024).</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80" w:type="dxa"/>
            <w:vAlign w:val="bottom"/>
            <w:gridSpan w:val="6"/>
            <w:shd w:val="clear" w:color="auto" w:fill="0000EE"/>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62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Rule 13a-14(a) or Rule 15d-14(a).</w:t>
            </w:r>
          </w:p>
        </w:tc>
        <w:tc>
          <w:tcPr>
            <w:tcW w:w="40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10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Rule 13a-14(a) or Rule 15d-14(a).</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180" w:type="dxa"/>
            <w:vAlign w:val="bottom"/>
            <w:gridSpan w:val="8"/>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10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and Chief Financial Officer pursuant to 18 U.S.C. Section 1350.</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540" w:type="dxa"/>
            <w:vAlign w:val="bottom"/>
            <w:gridSpan w:val="11"/>
            <w:shd w:val="clear" w:color="auto" w:fill="0000EE"/>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101.INS**</w:t>
            </w:r>
          </w:p>
        </w:tc>
        <w:tc>
          <w:tcPr>
            <w:tcW w:w="102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16"/>
        </w:trPr>
        <w:tc>
          <w:tcPr>
            <w:tcW w:w="960" w:type="dxa"/>
            <w:vAlign w:val="bottom"/>
            <w:gridSpan w:val="2"/>
            <w:vMerge w:val="continue"/>
          </w:tcPr>
          <w:p>
            <w:pPr>
              <w:spacing w:after="0"/>
              <w:rPr>
                <w:sz w:val="18"/>
                <w:szCs w:val="18"/>
                <w:color w:val="auto"/>
              </w:rPr>
            </w:pPr>
          </w:p>
        </w:tc>
        <w:tc>
          <w:tcPr>
            <w:tcW w:w="102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2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2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2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2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2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2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Exhibits 101).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40" w:hanging="532"/>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Furnished herewith.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to be signed on its behalf by the undersigned hereunto duly authorized.</w:t>
      </w:r>
    </w:p>
    <w:p>
      <w:pPr>
        <w:spacing w:after="0" w:line="160"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November 14,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Stephen C, Glover</w:t>
      </w:r>
    </w:p>
    <w:p>
      <w:pPr>
        <w:spacing w:after="0" w:line="3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Stephen C. Glover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November 14,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Peter Wolfe</w:t>
      </w:r>
    </w:p>
    <w:p>
      <w:pPr>
        <w:spacing w:after="0" w:line="3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Peter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ZyVersa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C. Glover, certify that:</w:t>
      </w:r>
    </w:p>
    <w:p>
      <w:pPr>
        <w:spacing w:after="0" w:line="225"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ZyVersa Therapeutics, Inc.;</w:t>
      </w:r>
    </w:p>
    <w:p>
      <w:pPr>
        <w:spacing w:after="0" w:line="225" w:lineRule="exact"/>
        <w:rPr>
          <w:rFonts w:ascii="Times New Roman" w:cs="Times New Roman" w:eastAsia="Times New Roman" w:hAnsi="Times New Roman"/>
          <w:sz w:val="18"/>
          <w:szCs w:val="18"/>
          <w:color w:val="auto"/>
        </w:rPr>
      </w:pPr>
    </w:p>
    <w:p>
      <w:pPr>
        <w:jc w:val="both"/>
        <w:ind w:left="340" w:right="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right="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75" w:lineRule="exact"/>
        <w:rPr>
          <w:rFonts w:ascii="Times New Roman" w:cs="Times New Roman" w:eastAsia="Times New Roman" w:hAnsi="Times New Roman"/>
          <w:sz w:val="18"/>
          <w:szCs w:val="18"/>
          <w:color w:val="auto"/>
        </w:rPr>
      </w:pPr>
    </w:p>
    <w:p>
      <w:pPr>
        <w:jc w:val="both"/>
        <w:ind w:left="680" w:right="20" w:hanging="335"/>
        <w:spacing w:after="0" w:line="266" w:lineRule="auto"/>
        <w:tabs>
          <w:tab w:leader="none" w:pos="6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80" w:right="20" w:hanging="335"/>
        <w:spacing w:after="0" w:line="266" w:lineRule="auto"/>
        <w:tabs>
          <w:tab w:leader="none" w:pos="6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80" w:right="20" w:hanging="335"/>
        <w:spacing w:after="0" w:line="282" w:lineRule="auto"/>
        <w:tabs>
          <w:tab w:leader="none" w:pos="6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80" w:right="20" w:hanging="335"/>
        <w:spacing w:after="0" w:line="266" w:lineRule="auto"/>
        <w:tabs>
          <w:tab w:leader="none" w:pos="6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annual report any change in the registrant’s internal control over financial reporting that occurred during the registrant’s most recent fiscal quarter (the registrant’s fourth quarter in the case of an annual report) that has materially affected, or is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680" w:right="20" w:hanging="335"/>
        <w:spacing w:after="0" w:line="282" w:lineRule="auto"/>
        <w:tabs>
          <w:tab w:leader="none" w:pos="6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80" w:right="20" w:hanging="335"/>
        <w:spacing w:after="0" w:line="282" w:lineRule="auto"/>
        <w:tabs>
          <w:tab w:leader="none" w:pos="6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Dated: November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Stephen C. Glover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Stephen C. Glover</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ZyVersa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Wolfe, certify that:</w:t>
      </w:r>
    </w:p>
    <w:p>
      <w:pPr>
        <w:spacing w:after="0" w:line="225"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ZyVersa Therapeutics, Inc.;</w:t>
      </w:r>
    </w:p>
    <w:p>
      <w:pPr>
        <w:spacing w:after="0" w:line="225" w:lineRule="exact"/>
        <w:rPr>
          <w:rFonts w:ascii="Times New Roman" w:cs="Times New Roman" w:eastAsia="Times New Roman" w:hAnsi="Times New Roman"/>
          <w:sz w:val="18"/>
          <w:szCs w:val="18"/>
          <w:color w:val="auto"/>
        </w:rPr>
      </w:pPr>
    </w:p>
    <w:p>
      <w:pPr>
        <w:jc w:val="both"/>
        <w:ind w:left="340" w:right="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right="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75" w:lineRule="exact"/>
        <w:rPr>
          <w:rFonts w:ascii="Times New Roman" w:cs="Times New Roman" w:eastAsia="Times New Roman" w:hAnsi="Times New Roman"/>
          <w:sz w:val="18"/>
          <w:szCs w:val="18"/>
          <w:color w:val="auto"/>
        </w:rPr>
      </w:pPr>
    </w:p>
    <w:p>
      <w:pPr>
        <w:jc w:val="both"/>
        <w:ind w:left="680" w:right="20" w:hanging="335"/>
        <w:spacing w:after="0" w:line="266" w:lineRule="auto"/>
        <w:tabs>
          <w:tab w:leader="none" w:pos="6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80" w:right="20" w:hanging="335"/>
        <w:spacing w:after="0" w:line="266" w:lineRule="auto"/>
        <w:tabs>
          <w:tab w:leader="none" w:pos="6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80" w:right="20" w:hanging="335"/>
        <w:spacing w:after="0" w:line="282" w:lineRule="auto"/>
        <w:tabs>
          <w:tab w:leader="none" w:pos="6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80" w:right="20" w:hanging="335"/>
        <w:spacing w:after="0" w:line="266" w:lineRule="auto"/>
        <w:tabs>
          <w:tab w:leader="none" w:pos="6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annual report any change in the registrant’s internal control over financial reporting that occurred during the registrant’s most recent fiscal quarter (the registrant’s fourth quarter in the case of an annual report) that has materially affected, or is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680" w:right="20" w:hanging="335"/>
        <w:spacing w:after="0" w:line="282" w:lineRule="auto"/>
        <w:tabs>
          <w:tab w:leader="none" w:pos="6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14, 2024</w:t>
            </w:r>
          </w:p>
        </w:tc>
        <w:tc>
          <w:tcPr>
            <w:tcW w:w="24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Peter Wolfe</w:t>
            </w:r>
          </w:p>
        </w:tc>
      </w:tr>
      <w:tr>
        <w:trPr>
          <w:trHeight w:val="198"/>
        </w:trPr>
        <w:tc>
          <w:tcPr>
            <w:tcW w:w="3800" w:type="dxa"/>
            <w:vAlign w:val="bottom"/>
          </w:tcPr>
          <w:p>
            <w:pPr>
              <w:spacing w:after="0"/>
              <w:rPr>
                <w:sz w:val="17"/>
                <w:szCs w:val="17"/>
                <w:color w:val="auto"/>
              </w:rPr>
            </w:pPr>
          </w:p>
        </w:tc>
        <w:tc>
          <w:tcPr>
            <w:tcW w:w="2400" w:type="dxa"/>
            <w:vAlign w:val="bottom"/>
          </w:tcPr>
          <w:p>
            <w:pPr>
              <w:ind w:left="18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Peter Wolfe</w:t>
            </w:r>
          </w:p>
        </w:tc>
      </w:tr>
      <w:tr>
        <w:trPr>
          <w:trHeight w:val="216"/>
        </w:trPr>
        <w:tc>
          <w:tcPr>
            <w:tcW w:w="3800" w:type="dxa"/>
            <w:vAlign w:val="bottom"/>
          </w:tcPr>
          <w:p>
            <w:pPr>
              <w:spacing w:after="0"/>
              <w:rPr>
                <w:sz w:val="18"/>
                <w:szCs w:val="18"/>
                <w:color w:val="auto"/>
              </w:rPr>
            </w:pPr>
          </w:p>
        </w:tc>
        <w:tc>
          <w:tcPr>
            <w:tcW w:w="24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8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32"/>
        </w:trPr>
        <w:tc>
          <w:tcPr>
            <w:tcW w:w="38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ZyVersa Therapeutics, Inc. (the “Company”) on Form 10-Q for the quarter ended September 30, 2024, as filed with the Securities and Exchange Commission on the date hereof (the “Report”), each of the undersigned officers of the Company certifies, pursuant to 18 U.S.C. Section 1350, as adopted pursuant to Section 906 of the Sarbanes-Oxley Act of 2002, that, to such officer’s knowledge:</w:t>
      </w:r>
    </w:p>
    <w:p>
      <w:pPr>
        <w:spacing w:after="0" w:line="176" w:lineRule="exact"/>
        <w:rPr>
          <w:sz w:val="20"/>
          <w:szCs w:val="20"/>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14, 2024</w:t>
            </w:r>
          </w:p>
        </w:tc>
        <w:tc>
          <w:tcPr>
            <w:tcW w:w="23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Stephen C. Glover</w:t>
            </w:r>
          </w:p>
        </w:tc>
      </w:tr>
      <w:tr>
        <w:trPr>
          <w:trHeight w:val="198"/>
        </w:trPr>
        <w:tc>
          <w:tcPr>
            <w:tcW w:w="3820" w:type="dxa"/>
            <w:vAlign w:val="bottom"/>
          </w:tcPr>
          <w:p>
            <w:pPr>
              <w:spacing w:after="0"/>
              <w:rPr>
                <w:sz w:val="17"/>
                <w:szCs w:val="17"/>
                <w:color w:val="auto"/>
              </w:rPr>
            </w:pPr>
          </w:p>
        </w:tc>
        <w:tc>
          <w:tcPr>
            <w:tcW w:w="2380" w:type="dxa"/>
            <w:vAlign w:val="bottom"/>
          </w:tcPr>
          <w:p>
            <w:pPr>
              <w:ind w:left="18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Stephen C. Glover</w:t>
            </w:r>
          </w:p>
        </w:tc>
      </w:tr>
      <w:tr>
        <w:trPr>
          <w:trHeight w:val="216"/>
        </w:trPr>
        <w:tc>
          <w:tcPr>
            <w:tcW w:w="3820" w:type="dxa"/>
            <w:vAlign w:val="bottom"/>
          </w:tcPr>
          <w:p>
            <w:pPr>
              <w:spacing w:after="0"/>
              <w:rPr>
                <w:sz w:val="18"/>
                <w:szCs w:val="18"/>
                <w:color w:val="auto"/>
              </w:rPr>
            </w:pPr>
          </w:p>
        </w:tc>
        <w:tc>
          <w:tcPr>
            <w:tcW w:w="23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8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14, 2024</w:t>
            </w:r>
          </w:p>
        </w:tc>
        <w:tc>
          <w:tcPr>
            <w:tcW w:w="23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Peter Wolfe</w:t>
            </w:r>
          </w:p>
        </w:tc>
      </w:tr>
      <w:tr>
        <w:trPr>
          <w:trHeight w:val="191"/>
        </w:trPr>
        <w:tc>
          <w:tcPr>
            <w:tcW w:w="3820" w:type="dxa"/>
            <w:vAlign w:val="bottom"/>
          </w:tcPr>
          <w:p>
            <w:pPr>
              <w:spacing w:after="0"/>
              <w:rPr>
                <w:sz w:val="16"/>
                <w:szCs w:val="16"/>
                <w:color w:val="auto"/>
              </w:rPr>
            </w:pPr>
          </w:p>
        </w:tc>
        <w:tc>
          <w:tcPr>
            <w:tcW w:w="2380" w:type="dxa"/>
            <w:vAlign w:val="bottom"/>
          </w:tcPr>
          <w:p>
            <w:pPr>
              <w:ind w:left="18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Peter Wolfe</w:t>
            </w:r>
          </w:p>
        </w:tc>
      </w:tr>
      <w:tr>
        <w:trPr>
          <w:trHeight w:val="216"/>
        </w:trPr>
        <w:tc>
          <w:tcPr>
            <w:tcW w:w="3820" w:type="dxa"/>
            <w:vAlign w:val="bottom"/>
          </w:tcPr>
          <w:p>
            <w:pPr>
              <w:spacing w:after="0"/>
              <w:rPr>
                <w:sz w:val="18"/>
                <w:szCs w:val="18"/>
                <w:color w:val="auto"/>
              </w:rPr>
            </w:pPr>
          </w:p>
        </w:tc>
        <w:tc>
          <w:tcPr>
            <w:tcW w:w="23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8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32"/>
        </w:trPr>
        <w:tc>
          <w:tcPr>
            <w:tcW w:w="38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200"/>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34" Type="http://schemas.openxmlformats.org/officeDocument/2006/relationships/hyperlink" Target="https://www.sec.gov/Archives/edgar/data/1859007/000149315224031002/ex3-1.htm" TargetMode="External"/><Relationship Id="rId35" Type="http://schemas.openxmlformats.org/officeDocument/2006/relationships/hyperlink" Target="https://www.sec.gov/Archives/edgar/data/1859007/000149315224029868/ex4-1.htm" TargetMode="External"/><Relationship Id="rId36" Type="http://schemas.openxmlformats.org/officeDocument/2006/relationships/hyperlink" Target="https://www.sec.gov/Archives/edgar/data/1859007/000149315224029868/ex4-2.htm" TargetMode="External"/><Relationship Id="rId37" Type="http://schemas.openxmlformats.org/officeDocument/2006/relationships/hyperlink" Target="https://www.sec.gov/Archives/edgar/data/1859007/000149315224043754/ex4-1.htm" TargetMode="External"/><Relationship Id="rId38" Type="http://schemas.openxmlformats.org/officeDocument/2006/relationships/hyperlink" Target="https://www.sec.gov/Archives/edgar/data/1859007/000149315224029868/ex10-1.htm" TargetMode="External"/><Relationship Id="rId39" Type="http://schemas.openxmlformats.org/officeDocument/2006/relationships/hyperlink" Target="https://www.sec.gov/Archives/edgar/data/1859007/000149315224029868/ex10-2.htm" TargetMode="External"/><Relationship Id="rId40" Type="http://schemas.openxmlformats.org/officeDocument/2006/relationships/hyperlink" Target="https://www.sec.gov/Archives/edgar/data/1859007/000149315224036453/ex1-1.htm" TargetMode="External"/><Relationship Id="rId41" Type="http://schemas.openxmlformats.org/officeDocument/2006/relationships/hyperlink" Target="https://www.sec.gov/Archives/edgar/data/1859007/000149315224043066/ex10-1.htm" TargetMode="External"/><Relationship Id="rId42" Type="http://schemas.openxmlformats.org/officeDocument/2006/relationships/hyperlink" Target="https://www.sec.gov/Archives/edgar/data/1859007/000149315224043754/ex10-1.htm" TargetMode="External"/><Relationship Id="rId43" Type="http://schemas.openxmlformats.org/officeDocument/2006/relationships/hyperlink" Target="https://www.sec.gov/Archives/edgar/data/1859007/000149315224043754/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2024-11-14T07:13:18Z</dcterms:created>
  <dcterms:modified xsi:type="dcterms:W3CDTF">2024-11-14T07:13:18Z</dcterms:modified>
</cp:coreProperties>
</file>