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60" w:right="940" w:hanging="2619"/>
        <w:spacing w:after="0" w:line="500" w:lineRule="auto"/>
        <w:tabs>
          <w:tab w:leader="none" w:pos="115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_________to_________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001-41184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86-2685744</w:t>
            </w:r>
          </w:p>
        </w:tc>
      </w:tr>
      <w:tr>
        <w:trPr>
          <w:trHeight w:val="216"/>
        </w:trPr>
        <w:tc>
          <w:tcPr>
            <w:tcW w:w="45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2200 N. Commerce Parkway, Suite 208</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20"/>
        </w:trPr>
        <w:tc>
          <w:tcPr>
            <w:tcW w:w="45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Weston, FL 33326</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33326</w:t>
            </w:r>
          </w:p>
        </w:tc>
      </w:tr>
      <w:tr>
        <w:trPr>
          <w:trHeight w:val="234"/>
        </w:trPr>
        <w:tc>
          <w:tcPr>
            <w:tcW w:w="450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(754) 231-1688</w:t>
            </w: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ZVSA</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right"/>
              <w:ind w:right="21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stock is quoted on the OTCQB® Venture Market under the symbol “ZVSA.”</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17, 2025, the number of shares outstanding of the registrant’s common stock, $0.0001 par value per share, was 8,095,921.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014"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3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9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(unaudited) and December 31, 2024</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and Nine Months Ended September 30, 2025 and 2024</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5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(Deficit) Equity for the Three and Nine Months Ended</w:t>
            </w:r>
          </w:p>
        </w:tc>
        <w:tc>
          <w:tcPr>
            <w:tcW w:w="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98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2025 and 2024</w:t>
            </w:r>
          </w:p>
        </w:tc>
        <w:tc>
          <w:tcPr>
            <w:tcW w:w="900" w:type="dxa"/>
            <w:vAlign w:val="bottom"/>
            <w:shd w:val="clear" w:color="auto" w:fill="CCEEFF"/>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and Nine Months Ended September 30, 2025 and 2024</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r>
              <w:rPr>
                <w:rFonts w:ascii="Times New Roman" w:cs="Times New Roman" w:eastAsia="Times New Roman" w:hAnsi="Times New Roman"/>
                <w:sz w:val="18"/>
                <w:szCs w:val="18"/>
                <w:color w:val="000000"/>
              </w:rPr>
              <w:t>.</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r>
              <w:rPr>
                <w:rFonts w:ascii="Times New Roman" w:cs="Times New Roman" w:eastAsia="Times New Roman" w:hAnsi="Times New Roman"/>
                <w:sz w:val="18"/>
                <w:szCs w:val="18"/>
                <w:color w:val="000000"/>
              </w:rPr>
              <w:t>.</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r>
              <w:rPr>
                <w:rFonts w:ascii="Times New Roman" w:cs="Times New Roman" w:eastAsia="Times New Roman" w:hAnsi="Times New Roman"/>
                <w:sz w:val="18"/>
                <w:szCs w:val="18"/>
                <w:color w:val="000000"/>
              </w:rPr>
              <w:t>.</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90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432"/>
        </w:trPr>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w:t>
      </w:r>
    </w:p>
    <w:p>
      <w:pPr>
        <w:spacing w:after="0" w:line="9" w:lineRule="exact"/>
        <w:rPr>
          <w:sz w:val="20"/>
          <w:szCs w:val="20"/>
          <w:color w:val="auto"/>
        </w:rPr>
      </w:pPr>
    </w:p>
    <w:p>
      <w:pPr>
        <w:ind w:left="180"/>
        <w:spacing w:after="0" w:line="255" w:lineRule="auto"/>
        <w:rPr>
          <w:sz w:val="20"/>
          <w:szCs w:val="20"/>
          <w:color w:val="auto"/>
        </w:rPr>
      </w:pPr>
      <w:r>
        <w:rPr>
          <w:rFonts w:ascii="Times New Roman" w:cs="Times New Roman" w:eastAsia="Times New Roman" w:hAnsi="Times New Roman"/>
          <w:sz w:val="18"/>
          <w:szCs w:val="18"/>
          <w:color w:val="auto"/>
        </w:rPr>
        <w:t>Prepaid expenses and other current assets Vendor deposits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In-process research and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Vendor 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offering costs</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4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180" w:type="dxa"/>
            <w:vAlign w:val="bottom"/>
          </w:tcPr>
          <w:p>
            <w:pPr>
              <w:spacing w:after="0"/>
              <w:rPr>
                <w:sz w:val="20"/>
                <w:szCs w:val="20"/>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823"/>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527,978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1,530,924</w:t>
            </w:r>
          </w:p>
        </w:tc>
      </w:tr>
      <w:tr>
        <w:trPr>
          <w:trHeight w:val="229"/>
        </w:trPr>
        <w:tc>
          <w:tcPr>
            <w:tcW w:w="18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298,192</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184,873</w:t>
            </w:r>
          </w:p>
        </w:tc>
      </w:tr>
      <w:tr>
        <w:trPr>
          <w:trHeight w:val="234"/>
        </w:trPr>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169,363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995,533</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1,715,797</w:t>
            </w:r>
          </w:p>
        </w:tc>
      </w:tr>
      <w:tr>
        <w:trPr>
          <w:trHeight w:val="395"/>
        </w:trPr>
        <w:tc>
          <w:tcPr>
            <w:tcW w:w="180" w:type="dxa"/>
            <w:vAlign w:val="bottom"/>
          </w:tcPr>
          <w:p>
            <w:pPr>
              <w:spacing w:after="0"/>
              <w:rPr>
                <w:sz w:val="24"/>
                <w:szCs w:val="24"/>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18,647,903</w:t>
            </w:r>
          </w:p>
        </w:tc>
      </w:tr>
      <w:tr>
        <w:trPr>
          <w:trHeight w:val="230"/>
        </w:trPr>
        <w:tc>
          <w:tcPr>
            <w:tcW w:w="18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178,476</w:t>
            </w:r>
          </w:p>
        </w:tc>
      </w:tr>
      <w:tr>
        <w:trPr>
          <w:trHeight w:val="234"/>
        </w:trPr>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44,727</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57,238</w:t>
            </w:r>
          </w:p>
        </w:tc>
      </w:tr>
      <w:tr>
        <w:trPr>
          <w:trHeight w:val="453"/>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1,040,260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20,599,414</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-1859280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-1584960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-1310640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-1028065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-744855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-471170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-179070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300"/>
            <w:col w:w="7760"/>
          </w:cols>
          <w:pgMar w:left="320" w:top="657"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9,805,129</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9,337,267</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2,960,698</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1,894,041</w:t>
            </w:r>
          </w:p>
        </w:tc>
      </w:tr>
      <w:tr>
        <w:trPr>
          <w:trHeight w:val="21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12,765,827</w:t>
            </w: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11,231,308</w:t>
            </w:r>
          </w:p>
        </w:tc>
        <w:tc>
          <w:tcPr>
            <w:tcW w:w="10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851,659</w:t>
            </w:r>
          </w:p>
        </w:tc>
      </w:tr>
      <w:tr>
        <w:trPr>
          <w:trHeight w:val="21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12,765,827</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12,082,967</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8,635 shares designated, 50 shares issued and outstanding as of</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400" w:type="dxa"/>
            <w:vAlign w:val="bottom"/>
          </w:tcPr>
          <w:p>
            <w:pPr>
              <w:spacing w:after="0"/>
              <w:rPr>
                <w:sz w:val="20"/>
                <w:szCs w:val="20"/>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5,062 shares designated, 5,062 shares issued and outstanding as of</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4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 8,095,928 and 2,508,198</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as of September 30, 2025 and December 31, 2024, respectively, and 8,095,921 and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2,508,191 shares outstanding as of September 30, 2025 and December 31, 2024, respectively</w:t>
            </w:r>
          </w:p>
        </w:tc>
        <w:tc>
          <w:tcPr>
            <w:tcW w:w="400" w:type="dxa"/>
            <w:vAlign w:val="bottom"/>
          </w:tcPr>
          <w:p>
            <w:pPr>
              <w:spacing w:after="0"/>
              <w:rPr>
                <w:sz w:val="20"/>
                <w:szCs w:val="20"/>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809</w:t>
            </w:r>
          </w:p>
        </w:tc>
        <w:tc>
          <w:tcPr>
            <w:tcW w:w="4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125,187,156</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121,155,922</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(136,906,365)</w:t>
            </w:r>
          </w:p>
        </w:tc>
        <w:tc>
          <w:tcPr>
            <w:tcW w:w="4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(112,632,559)</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7 shares at September 30, 2025 and December 31, 2024</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(7,168)</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r>
      <w:tr>
        <w:trPr>
          <w:trHeight w:val="209"/>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(11,725,567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8,516,447</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1,040,260</w:t>
            </w:r>
          </w:p>
        </w:tc>
        <w:tc>
          <w:tcPr>
            <w:tcW w:w="320" w:type="dxa"/>
            <w:vAlign w:val="bottom"/>
          </w:tcPr>
          <w:p>
            <w:pPr>
              <w:spacing w:after="0"/>
              <w:rPr>
                <w:sz w:val="21"/>
                <w:szCs w:val="21"/>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20,599,414</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60" w:type="dxa"/>
            <w:vAlign w:val="bottom"/>
            <w:gridSpan w:val="4"/>
          </w:tcPr>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5"/>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40" w:type="dxa"/>
            <w:vAlign w:val="bottom"/>
          </w:tcPr>
          <w:p>
            <w:pPr>
              <w:spacing w:after="0"/>
              <w:rPr>
                <w:sz w:val="20"/>
                <w:szCs w:val="20"/>
                <w:color w:val="auto"/>
              </w:rPr>
            </w:pPr>
          </w:p>
        </w:tc>
        <w:tc>
          <w:tcPr>
            <w:tcW w:w="364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33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365,053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436,043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1,033,865</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1,658,030</w:t>
            </w:r>
          </w:p>
        </w:tc>
      </w:tr>
      <w:tr>
        <w:trPr>
          <w:trHeight w:val="22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1,739,174</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1,833,578</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5,259,064</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6,192,205</w:t>
            </w:r>
          </w:p>
        </w:tc>
      </w:tr>
      <w:tr>
        <w:trPr>
          <w:trHeight w:val="198"/>
        </w:trPr>
        <w:tc>
          <w:tcPr>
            <w:tcW w:w="3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in-process research and</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tcPr>
          <w:p>
            <w:pPr>
              <w:spacing w:after="0"/>
              <w:rPr>
                <w:sz w:val="21"/>
                <w:szCs w:val="21"/>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18,647,903</w:t>
            </w:r>
          </w:p>
        </w:tc>
        <w:tc>
          <w:tcPr>
            <w:tcW w:w="380" w:type="dxa"/>
            <w:vAlign w:val="bottom"/>
          </w:tcPr>
          <w:p>
            <w:pPr>
              <w:spacing w:after="0"/>
              <w:rPr>
                <w:sz w:val="21"/>
                <w:szCs w:val="21"/>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18,647,903</w:t>
            </w:r>
          </w:p>
        </w:tc>
        <w:tc>
          <w:tcPr>
            <w:tcW w:w="380" w:type="dxa"/>
            <w:vAlign w:val="bottom"/>
          </w:tcPr>
          <w:p>
            <w:pPr>
              <w:spacing w:after="0"/>
              <w:rPr>
                <w:sz w:val="21"/>
                <w:szCs w:val="21"/>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20,752,130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2,269,621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24,940,832</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(20,752,130)</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(2,269,621)</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(24,940,832)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(7,850,235)</w:t>
            </w: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131,350</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131,635</w:t>
            </w:r>
          </w:p>
        </w:tc>
        <w:tc>
          <w:tcPr>
            <w:tcW w:w="140" w:type="dxa"/>
            <w:vAlign w:val="bottom"/>
          </w:tcPr>
          <w:p>
            <w:pPr>
              <w:spacing w:after="0"/>
              <w:rPr>
                <w:sz w:val="18"/>
                <w:szCs w:val="18"/>
                <w:color w:val="auto"/>
              </w:rPr>
            </w:pP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380,946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131,794</w:t>
            </w:r>
          </w:p>
        </w:tc>
      </w:tr>
      <w:tr>
        <w:trPr>
          <w:trHeight w:val="23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equity payable</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(226,262)</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(196,313)</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Pre-Tax Net Loss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(20,657,218)</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(2,401,256)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(25,125,465)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(7,982,029)</w:t>
            </w:r>
          </w:p>
        </w:tc>
      </w:tr>
      <w:tr>
        <w:trPr>
          <w:trHeight w:val="229"/>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tcPr>
          <w:p>
            <w:pPr>
              <w:spacing w:after="0"/>
              <w:rPr>
                <w:sz w:val="19"/>
                <w:szCs w:val="19"/>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851,659</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851,659</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(9,707)</w:t>
            </w:r>
          </w:p>
        </w:tc>
      </w:tr>
      <w:tr>
        <w:trPr>
          <w:trHeight w:val="223"/>
        </w:trPr>
        <w:tc>
          <w:tcPr>
            <w:tcW w:w="3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(19,805,559</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(2,401,256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(24,273,806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(7,991,736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(2.56)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196"/>
        </w:trPr>
        <w:tc>
          <w:tcPr>
            <w:tcW w:w="3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3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Basic and Diluted</w:t>
            </w:r>
          </w:p>
        </w:tc>
        <w:tc>
          <w:tcPr>
            <w:tcW w:w="1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7,740,678</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988,378</w:t>
            </w:r>
          </w:p>
        </w:tc>
        <w:tc>
          <w:tcPr>
            <w:tcW w:w="1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5,237,544</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816,293</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1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2025</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6"/>
        </w:trPr>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gridSpan w:val="2"/>
          </w:tcPr>
          <w:p>
            <w:pPr>
              <w:spacing w:after="0"/>
              <w:rPr>
                <w:sz w:val="16"/>
                <w:szCs w:val="16"/>
                <w:color w:val="auto"/>
              </w:rPr>
            </w:pPr>
          </w:p>
        </w:tc>
      </w:tr>
      <w:tr>
        <w:trPr>
          <w:trHeight w:val="203"/>
        </w:trPr>
        <w:tc>
          <w:tcPr>
            <w:tcW w:w="1300" w:type="dxa"/>
            <w:vAlign w:val="bottom"/>
          </w:tcPr>
          <w:p>
            <w:pPr>
              <w:spacing w:after="0"/>
              <w:rPr>
                <w:sz w:val="17"/>
                <w:szCs w:val="17"/>
                <w:color w:val="auto"/>
              </w:rPr>
            </w:pPr>
          </w:p>
        </w:tc>
        <w:tc>
          <w:tcPr>
            <w:tcW w:w="12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6"/>
        </w:trPr>
        <w:tc>
          <w:tcPr>
            <w:tcW w:w="13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9"/>
                <w:szCs w:val="19"/>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(Deficit)</w:t>
            </w:r>
          </w:p>
        </w:tc>
      </w:tr>
      <w:tr>
        <w:trPr>
          <w:trHeight w:val="214"/>
        </w:trPr>
        <w:tc>
          <w:tcPr>
            <w:tcW w:w="1300" w:type="dxa"/>
            <w:vAlign w:val="bottom"/>
          </w:tcPr>
          <w:p>
            <w:pPr>
              <w:spacing w:after="0"/>
              <w:rPr>
                <w:sz w:val="18"/>
                <w:szCs w:val="18"/>
                <w:color w:val="auto"/>
              </w:rPr>
            </w:pPr>
          </w:p>
        </w:tc>
        <w:tc>
          <w:tcPr>
            <w:tcW w:w="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400"/>
        </w:trPr>
        <w:tc>
          <w:tcPr>
            <w:tcW w:w="1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2,508,198</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251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(7,168)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$ 121,155,922</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(112,632,559)</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8,516,447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3"/>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18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pursuant to</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vendor</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agreements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60,000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81,594</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Private</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placement of</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300" w:type="dxa"/>
            <w:vAlign w:val="bottom"/>
          </w:tcPr>
          <w:p>
            <w:pPr>
              <w:ind w:left="180"/>
              <w:spacing w:after="0" w:line="256" w:lineRule="exact"/>
              <w:rPr>
                <w:sz w:val="20"/>
                <w:szCs w:val="20"/>
                <w:color w:val="auto"/>
              </w:rPr>
            </w:pPr>
            <w:r>
              <w:rPr>
                <w:rFonts w:ascii="Times New Roman" w:cs="Times New Roman" w:eastAsia="Times New Roman" w:hAnsi="Times New Roman"/>
                <w:sz w:val="16"/>
                <w:szCs w:val="16"/>
                <w:color w:val="auto"/>
              </w:rPr>
              <w:t xml:space="preserve">warrants </w:t>
            </w:r>
            <w:r>
              <w:rPr>
                <w:rFonts w:ascii="Times New Roman" w:cs="Times New Roman" w:eastAsia="Times New Roman" w:hAnsi="Times New Roman"/>
                <w:sz w:val="26"/>
                <w:szCs w:val="26"/>
                <w:color w:val="auto"/>
                <w:vertAlign w:val="superscript"/>
              </w:rPr>
              <w:t>[1]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2"/>
                <w:szCs w:val="22"/>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2"/>
                <w:szCs w:val="22"/>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1,663,052</w:t>
            </w:r>
          </w:p>
        </w:tc>
        <w:tc>
          <w:tcPr>
            <w:tcW w:w="120" w:type="dxa"/>
            <w:vAlign w:val="bottom"/>
          </w:tcPr>
          <w:p>
            <w:pPr>
              <w:spacing w:after="0"/>
              <w:rPr>
                <w:sz w:val="22"/>
                <w:szCs w:val="22"/>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1,663,052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8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modification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53,890</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72,291</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(2,256,930)</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(2,256,930)</w:t>
            </w:r>
          </w:p>
        </w:tc>
      </w:tr>
      <w:tr>
        <w:trPr>
          <w:trHeight w:val="167"/>
        </w:trPr>
        <w:tc>
          <w:tcPr>
            <w:tcW w:w="130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March</w:t>
            </w: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5"/>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2,568,198</w:t>
            </w: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257</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123,026,749</w:t>
            </w:r>
          </w:p>
        </w:tc>
        <w:tc>
          <w:tcPr>
            <w:tcW w:w="1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(114,889,489)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8,130,350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pursuant to</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vendor</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agreements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200,000</w:t>
            </w: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128,780</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pre-funded</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2,105,265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Private</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placement of</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offering costs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(7,468)</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(7,468)</w:t>
            </w:r>
          </w:p>
        </w:tc>
      </w:tr>
      <w:tr>
        <w:trPr>
          <w:trHeight w:val="192"/>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59,199</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(2,211,317)</w:t>
            </w: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(2,211,317)</w:t>
            </w:r>
          </w:p>
        </w:tc>
      </w:tr>
      <w:tr>
        <w:trPr>
          <w:trHeight w:val="169"/>
        </w:trPr>
        <w:tc>
          <w:tcPr>
            <w:tcW w:w="130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Balance - June</w:t>
            </w: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8"/>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4,873,463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487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(7,168)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123,207,260</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(117,100,806)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6,099,774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3"/>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pursuant to</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vendor</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agreements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160,000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29,584</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inducement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offer - exercise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300" w:type="dxa"/>
            <w:vAlign w:val="bottom"/>
          </w:tcPr>
          <w:p>
            <w:pPr>
              <w:ind w:left="180"/>
              <w:spacing w:after="0" w:line="256" w:lineRule="exact"/>
              <w:rPr>
                <w:sz w:val="20"/>
                <w:szCs w:val="20"/>
                <w:color w:val="auto"/>
              </w:rPr>
            </w:pPr>
            <w:r>
              <w:rPr>
                <w:rFonts w:ascii="Times New Roman" w:cs="Times New Roman" w:eastAsia="Times New Roman" w:hAnsi="Times New Roman"/>
                <w:sz w:val="16"/>
                <w:szCs w:val="16"/>
                <w:color w:val="auto"/>
              </w:rPr>
              <w:t xml:space="preserve">proceeds </w:t>
            </w:r>
            <w:r>
              <w:rPr>
                <w:rFonts w:ascii="Times New Roman" w:cs="Times New Roman" w:eastAsia="Times New Roman" w:hAnsi="Times New Roman"/>
                <w:sz w:val="26"/>
                <w:szCs w:val="26"/>
                <w:color w:val="auto"/>
                <w:vertAlign w:val="superscript"/>
              </w:rPr>
              <w:t>[2]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2"/>
                <w:szCs w:val="22"/>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2"/>
                <w:szCs w:val="22"/>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3,062,465</w:t>
            </w:r>
          </w:p>
        </w:tc>
        <w:tc>
          <w:tcPr>
            <w:tcW w:w="3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306</w:t>
            </w:r>
          </w:p>
        </w:tc>
        <w:tc>
          <w:tcPr>
            <w:tcW w:w="2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113,568</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113,874</w:t>
            </w:r>
          </w:p>
        </w:tc>
        <w:tc>
          <w:tcPr>
            <w:tcW w:w="80" w:type="dxa"/>
            <w:vAlign w:val="bottom"/>
          </w:tcPr>
          <w:p>
            <w:pPr>
              <w:spacing w:after="0"/>
              <w:rPr>
                <w:sz w:val="22"/>
                <w:szCs w:val="22"/>
                <w:color w:val="auto"/>
              </w:rPr>
            </w:pPr>
          </w:p>
        </w:tc>
      </w:tr>
      <w:tr>
        <w:trPr>
          <w:trHeight w:val="18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modification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1,762,756</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1,762,756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73,988</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(19,805,559)</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(19,805,559)</w:t>
            </w:r>
          </w:p>
        </w:tc>
      </w:tr>
      <w:tr>
        <w:trPr>
          <w:trHeight w:val="167"/>
        </w:trPr>
        <w:tc>
          <w:tcPr>
            <w:tcW w:w="130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w:t>
            </w: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80" w:type="dxa"/>
            <w:vAlign w:val="bottom"/>
          </w:tcPr>
          <w:p>
            <w:pPr>
              <w:spacing w:after="0"/>
              <w:rPr>
                <w:sz w:val="21"/>
                <w:szCs w:val="21"/>
                <w:color w:val="auto"/>
              </w:rPr>
            </w:pP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8,095,928</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809</w:t>
            </w:r>
          </w:p>
        </w:tc>
        <w:tc>
          <w:tcPr>
            <w:tcW w:w="2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$ 125,187,156</w:t>
            </w:r>
          </w:p>
        </w:tc>
        <w:tc>
          <w:tcPr>
            <w:tcW w:w="12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(136,906,365)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(11,725,567)</w:t>
            </w:r>
          </w:p>
        </w:tc>
      </w:tr>
      <w:tr>
        <w:trPr>
          <w:trHeight w:val="20"/>
        </w:trPr>
        <w:tc>
          <w:tcPr>
            <w:tcW w:w="1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65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1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17"/>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1300" w:type="dxa"/>
            <w:vAlign w:val="bottom"/>
          </w:tcPr>
          <w:p>
            <w:pPr>
              <w:spacing w:after="0"/>
              <w:rPr>
                <w:sz w:val="16"/>
                <w:szCs w:val="16"/>
                <w:color w:val="auto"/>
              </w:rPr>
            </w:pPr>
          </w:p>
        </w:tc>
        <w:tc>
          <w:tcPr>
            <w:tcW w:w="13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r>
      <w:tr>
        <w:trPr>
          <w:trHeight w:val="226"/>
        </w:trPr>
        <w:tc>
          <w:tcPr>
            <w:tcW w:w="130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4"/>
        </w:trPr>
        <w:tc>
          <w:tcPr>
            <w:tcW w:w="1300" w:type="dxa"/>
            <w:vAlign w:val="bottom"/>
          </w:tcPr>
          <w:p>
            <w:pPr>
              <w:spacing w:after="0"/>
              <w:rPr>
                <w:sz w:val="18"/>
                <w:szCs w:val="18"/>
                <w:color w:val="auto"/>
              </w:rPr>
            </w:pPr>
          </w:p>
        </w:tc>
        <w:tc>
          <w:tcPr>
            <w:tcW w:w="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400"/>
        </w:trPr>
        <w:tc>
          <w:tcPr>
            <w:tcW w:w="1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62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5,062</w:t>
            </w: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405,212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(7,168)</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$ 114,300,849</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(103,219,124)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11,074,598</w:t>
            </w:r>
          </w:p>
        </w:tc>
      </w:tr>
      <w:tr>
        <w:trPr>
          <w:trHeight w:val="203"/>
        </w:trPr>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2,672,479</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2,672,500</w:t>
            </w:r>
          </w:p>
        </w:tc>
        <w:tc>
          <w:tcPr>
            <w:tcW w:w="10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pre-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pursuant to</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vendor</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agreements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79,199</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79,200</w:t>
            </w:r>
          </w:p>
        </w:tc>
        <w:tc>
          <w:tcPr>
            <w:tcW w:w="10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Round up share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 due</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reverse split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223,573</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223,573</w:t>
            </w:r>
          </w:p>
        </w:tc>
        <w:tc>
          <w:tcPr>
            <w:tcW w:w="100" w:type="dxa"/>
            <w:vAlign w:val="bottom"/>
            <w:shd w:val="clear" w:color="auto" w:fill="CCEEFF"/>
          </w:tcPr>
          <w:p>
            <w:pPr>
              <w:spacing w:after="0"/>
              <w:rPr>
                <w:sz w:val="18"/>
                <w:szCs w:val="18"/>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(2,826,737)</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(2,826,737)</w:t>
            </w:r>
          </w:p>
        </w:tc>
      </w:tr>
      <w:tr>
        <w:trPr>
          <w:trHeight w:val="169"/>
        </w:trPr>
        <w:tc>
          <w:tcPr>
            <w:tcW w:w="130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Balance - March</w:t>
            </w: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8"/>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5,062</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(7,168)</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117,276,079</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(106,045,861)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11,223,134</w:t>
            </w:r>
          </w:p>
        </w:tc>
      </w:tr>
      <w:tr>
        <w:trPr>
          <w:trHeight w:val="203"/>
        </w:trPr>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160,664</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160,664</w:t>
            </w:r>
          </w:p>
        </w:tc>
        <w:tc>
          <w:tcPr>
            <w:tcW w:w="100" w:type="dxa"/>
            <w:vAlign w:val="bottom"/>
            <w:shd w:val="clear" w:color="auto" w:fill="CCEEFF"/>
          </w:tcPr>
          <w:p>
            <w:pPr>
              <w:spacing w:after="0"/>
              <w:rPr>
                <w:sz w:val="18"/>
                <w:szCs w:val="18"/>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(2,763,743)</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(2,763,743)</w:t>
            </w:r>
          </w:p>
        </w:tc>
      </w:tr>
      <w:tr>
        <w:trPr>
          <w:trHeight w:val="169"/>
        </w:trPr>
        <w:tc>
          <w:tcPr>
            <w:tcW w:w="130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Balance - June</w:t>
            </w: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8"/>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5,062</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(7,168)</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117,436,743</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(108,809,604)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8,620,055</w:t>
            </w:r>
          </w:p>
        </w:tc>
        <w:tc>
          <w:tcPr>
            <w:tcW w:w="10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inducement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offer - exercise</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400,900</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400,924</w:t>
            </w:r>
          </w:p>
        </w:tc>
        <w:tc>
          <w:tcPr>
            <w:tcW w:w="100" w:type="dxa"/>
            <w:vAlign w:val="bottom"/>
          </w:tcPr>
          <w:p>
            <w:pPr>
              <w:spacing w:after="0"/>
              <w:rPr>
                <w:sz w:val="18"/>
                <w:szCs w:val="18"/>
                <w:color w:val="auto"/>
              </w:rPr>
            </w:pPr>
          </w:p>
        </w:tc>
      </w:tr>
      <w:tr>
        <w:trPr>
          <w:trHeight w:val="192"/>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modification</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246,912</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246,912</w:t>
            </w:r>
          </w:p>
        </w:tc>
        <w:tc>
          <w:tcPr>
            <w:tcW w:w="100" w:type="dxa"/>
            <w:vAlign w:val="bottom"/>
            <w:shd w:val="clear" w:color="auto" w:fill="CCEEFF"/>
          </w:tcPr>
          <w:p>
            <w:pPr>
              <w:spacing w:after="0"/>
              <w:rPr>
                <w:sz w:val="18"/>
                <w:szCs w:val="18"/>
                <w:color w:val="auto"/>
              </w:rPr>
            </w:pPr>
          </w:p>
        </w:tc>
      </w:tr>
      <w:tr>
        <w:trPr>
          <w:trHeight w:val="189"/>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160,665</w:t>
            </w: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160,665</w:t>
            </w:r>
          </w:p>
        </w:tc>
        <w:tc>
          <w:tcPr>
            <w:tcW w:w="100" w:type="dxa"/>
            <w:vAlign w:val="bottom"/>
          </w:tcPr>
          <w:p>
            <w:pPr>
              <w:spacing w:after="0"/>
              <w:rPr>
                <w:sz w:val="18"/>
                <w:szCs w:val="18"/>
                <w:color w:val="auto"/>
              </w:rPr>
            </w:pPr>
          </w:p>
        </w:tc>
      </w:tr>
      <w:tr>
        <w:trPr>
          <w:trHeight w:val="219"/>
        </w:trPr>
        <w:tc>
          <w:tcPr>
            <w:tcW w:w="1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(2,401,256)</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(2,401,256)</w:t>
            </w:r>
          </w:p>
        </w:tc>
      </w:tr>
      <w:tr>
        <w:trPr>
          <w:trHeight w:val="167"/>
        </w:trPr>
        <w:tc>
          <w:tcPr>
            <w:tcW w:w="130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w:t>
            </w: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6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5,062</w:t>
            </w: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1,074,203</w:t>
            </w:r>
          </w:p>
        </w:tc>
        <w:tc>
          <w:tcPr>
            <w:tcW w:w="100" w:type="dxa"/>
            <w:vAlign w:val="bottom"/>
          </w:tcPr>
          <w:p>
            <w:pPr>
              <w:spacing w:after="0"/>
              <w:rPr>
                <w:sz w:val="21"/>
                <w:szCs w:val="21"/>
                <w:color w:val="auto"/>
              </w:rPr>
            </w:pPr>
          </w:p>
        </w:tc>
        <w:tc>
          <w:tcPr>
            <w:tcW w:w="4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w:t>
            </w:r>
          </w:p>
        </w:tc>
        <w:tc>
          <w:tcPr>
            <w:tcW w:w="1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(7,168)</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$ 118,245,220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(111,210,860)</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7,027,300</w:t>
            </w:r>
          </w:p>
        </w:tc>
        <w:tc>
          <w:tcPr>
            <w:tcW w:w="10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gross proceeds of $1,999,791 less cash issuance costs of $282,849 and a non-cash warrant modification charge of $53,890</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gross proceeds of $2,051,852 less cash issuance costs of $175,221 and a non-cash warrant modification charge of $1,762,756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gross proceeds of $827,978 less issuance costs of $427,054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(24,273,806)</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(7,991,736)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18,647,903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205,478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pursuant to vendor agreements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79,200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rent expense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(benefit) provision</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(851,659)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(113,319)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(52,035)</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371,006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Vendor deposits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(8,656)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1,066,657</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502,839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(4,700,692)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(6,304,829)</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of warrants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1,999,791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inducement offer - exercise proceeds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2,051,852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12,511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(30,260)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warrant issuance</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(366,618)</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(180,142)</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3,697,746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3,290,076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(1,002,946)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(3,014,753)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1,530,924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3,137,674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527,978</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122,921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modification - incremental value</w:t>
            </w: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1,816,646</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246,912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for offering costs</w:t>
            </w:r>
          </w:p>
        </w:tc>
        <w:tc>
          <w:tcPr>
            <w:tcW w:w="7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98,921</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176,870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ZyVersa Therapeutics, Inc. (“ZyVersa” and the “Company”)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September 30, 2025 and for the three and nine months ended September 30, 2025 and 2024. The results of operations for the nine months ended September 30, 2025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2024, filed with the Securities and Exchange Commission (“SEC”) on March 27,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were proportionally decreased, and the corresponding conversion price or exercise price was proportionally increased. No fractional shares were issued as a result of the 2024 Reverse Split.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all share and per share amounts for all periods presented in these financial statements and notes thereto have been adjusted retroactively, where applicable, to reflect the 2024 Reverse Split and adjustment of the conversion price or exercise price of each outstanding equity award, convertible security and warrant as if the transaction had occurred as of the beginning of the earliest period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 and Management’s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cash of approximately $0.5 million and a working capital deficit of approximately $11.8 million. During the nine months ended September 30, 2025, the Company incurred a net loss of approximately $24.3 million and used cash in operations of approximately $4.7 million. The Company has an accumulated deficit of approximately $136.9 million as of September 30,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Consequently, the Company will be required to raise additional funds through equity or debt financing. Management believes that the Company has access to capital resources and continues to evaluate additional financing opportunities; however,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date the Company’s December 31, 2024 financial statements were issued in its 2024 Annual Report on Form 10-K, there have been no material changes to the Company’s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to do so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338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23"/>
        </w:trPr>
        <w:tc>
          <w:tcPr>
            <w:tcW w:w="56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36"/>
        </w:trPr>
        <w:tc>
          <w:tcPr>
            <w:tcW w:w="56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Warrants </w:t>
            </w:r>
            <w:r>
              <w:rPr>
                <w:rFonts w:ascii="Times New Roman" w:cs="Times New Roman" w:eastAsia="Times New Roman" w:hAnsi="Times New Roman"/>
                <w:sz w:val="27"/>
                <w:szCs w:val="27"/>
                <w:color w:val="auto"/>
                <w:vertAlign w:val="superscript"/>
              </w:rPr>
              <w:t>[1]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6,911,773</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928,593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387,424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9,639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2,067</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2,067</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7,301,336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292"/>
        <w:spacing w:after="0" w:line="282"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InflamaCORE, LLC license agreement, warrants to purchase 342 shares of common stock are to be issued upon the satisfaction of certain milestones and, accordingly, are not included in the amount currently reported.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operating and reporting segment (clinical stage biopharmaceutical), namely, the development of drugs for patients with chronic renal or inflammatory diseases with high unmet medical needs. The accounting policies of the segment are the same as those described in the summary of significant accounting policies. The chief operating decision maker (“CODM”), who is the Company’s chief executive officer, utilizes the Company’s financial information on an aggregate, consolidated basis for purposes of making operating decisions, allocating resources and assessing financial performance, as well as for making strategic operations decisions and managing the organization. The CODM is not regularly provided with disaggregated actual expense information, other than the actual expense information included in the condensed consolidated statements of operations. The measure of segment assets is reported on the balance sheet as total assets. The Company has not yet generated any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Concentration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accounts payable to one vendor accounted for 56% and 56%, respectively, related to research and development. The Company relies on this vendor to perform critical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address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amendments in ASU 2023-09 are effective for fiscal years beginning after December 15, 2024, with early adoption permitted. The Company is currently evaluating the impact of the requirement to disclose additional specified categories in the rate reconciliation in both percentage and dollar amounts. The standard, which is effective for the Company’s 2025 annual period, will be applied.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 – 04). This update requires an entity to disclose more detailed information regarding expenses for the entity. The amendments require that at each interim and the annual reporting period, the entity must disclose amounts related to purchases of inventory, employee compensation, depreciation, and intangible asset amortization. Including the amounts, the entity is required to disclose and qualitative description of the amounts remaining in relevant expense captions, and to disclose the total amount of selling expenses and the definition of selling expenses. The amendments in this update should be applied prospectively to financial statements issued for reporting periods, and retrospectively to any prior periods presented in the financials. Although early adoption is permitted, the new guidance becomes effective for annual reporting periods beginning after December 15, 2026, and interim reporting periods beginning after December 15, 2027. Since this new ASU addresses only disclosures, the Company does not expect the adoption of this ASU to have any material effects on its financial condition, results of operations or cash flows.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447"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In-Process 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of 2022, in connection with a business combination, the Company recorded an indefinite-lived intangible asset related to in-process research and development (“IPR&amp;D”). ASC 350 requires that intangible assets with indefinite lives be tested for impairment annually or on an interim basis if events or circumstances indicate that the fair value of an asset has decreased below its carrying value. As of September 30, 2025, management determined that it was more likely than not that the Company’s single reporting unit’s fair value was below its carrying amount, due to a significant and sustained decline in the Company’s market capitalization through September 30, 2025, therefore an impairment test was performed on the Company’s IPR&amp;D intangible asset.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 limitations on accessing significant capital in what is currently a risk averse environment for biotech (as evidenced by decreased investor appetite for risk, market volatility, regulatory uncertainty from a changing Food and Drug Administration and a challenging economic environment), has resulted in a sustained decline in the Company’s market capitalization, and the Company’s ability to further finance the development of its drug candidates to the next milestone could be adversely impacted. Accordingly, the Company determined that the carrying value of its IPR&amp;D intangible asset may not be recoverable and it was fully impaired. Therefore, the Company recorded an $18.6 million impairment charge, reflected within operating expenses in the condensed consolidated statements of operations for the three and nine months ended September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accrual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1,101,584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1,039,338</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Bonus accrual</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1,107,813</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536,500</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681,296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310,942</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issuable equity</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62,744</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delay liability</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7,261</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7,261</w:t>
            </w:r>
          </w:p>
        </w:tc>
        <w:tc>
          <w:tcPr>
            <w:tcW w:w="6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2,960,698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1,894,041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3.39% and (0.12%) for the nine months ended September 30, 2025 and 2024, respectively. The increase in the quarterly rate is primarily the result of adjustments in its valuation allowance. During the nine months ended September 30, 2025, the Company recorded an impairment on the IPR&amp;D asset which resulted in a decrease to the related deferred tax liability balance.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Law Change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4th, 2025, the President signed into law significant federal tax legislation, H.R.1 (the “Tax Reform Act of 2025”). The legislation includes numerous changes to U.S. corporate income tax law, including but not limited to: permanent 100% bonus depreciation for qualified property, immediate expensing of domestic research and experimental expenditures, modifications to the limitation on business interest expense, increased Section 179 expensing limits, changes to the international tax regime, and expanded limitations on the deductibility of executive compensation under IRC Section 162(m). Most provisions are effective for tax years beginning after December 31, 2024, with certain transition rules and exceptions.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evaluating the impact of the Tax Reform Act of 2025 on its condensed consolidated financial statements. There was no material impact given the Company’s tax loss profile and valuation allowance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Litigations, Claims and Assessments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Disputed Vendor Invoices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30, 2024 and July 1, 2024, the Company received two invoices from a vendor in the amounts of $992,176 and $162,800, respectively. The June 30, 2024 invoice represents retroactive interest on invoices going back to September 30, 2022. The July 1, 2024 invoice included miscellaneous unsupported charges performed over the past several years. On August 1, 2024, ZyVersa management sent the vendor a letter disputing the interest and unsupported charges and has requested the vendor to rescind each of them. Although the Company has requested the vendor to rescind the retroactive interest on invoices, the Company believes that, in accordance with the agreement, the vendor can legally charge the Company interest from the point they were notified of the vendor’s intent to charge interest. As such, the Company included the calculated interest from July 1, 2024 to September 30, 2025 and July 1, 2024 to December 31, 2024 of $649,327 and $268,972, respectively, within accrued expenses and other current liabilities on the condensed consolidated balance sheets at September 30, 2025 and December 31, 2024. On July 24, 2025, the Company received a $37,421 credit memo from the vendor for overcharged interest. The Company has accounted for the unaccrued interest and unsupported charges of $1,067,305 as a loss contingency and because payment is not deemed probable, it has not been recorded as a liability in the condensed consolidated balance sheet as of September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ectPr>
          <w:pgSz w:w="11900" w:h="16838" w:orient="portrait"/>
          <w:cols w:equalWidth="0" w:num="1">
            <w:col w:w="11240"/>
          </w:cols>
          <w:pgMar w:left="320" w:top="657" w:right="339" w:bottom="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2019, the Company entered into a lease agreement for approximately 3,500 square feet of office space in Weston, Florida for a term of five years. Under the lease agreement, the annual base rent, which excludes the Company’s share of taxes and operating costs, was approximately $89,000 for the first year and has increased approximately 3% every year thereafter for a total base rent lease commitment of approximately $497,000. On January 15, 2024, the Company extended the lease for an additional year for a total base rent lease commitment of $112,064. On January 9, 2025, the Company extended the lease for an additional year for a total base rent lease commitment of approximately $120,819. The Company used the short-term lease practical expedient which permits the Company to not capitalize leases with a term equal to or less than 12 months.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rent expense in connection with its operating lease for the three months ended September 30, 2025 and 2024 of $42,443 and $42,696,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rent expense in connection with its operating lease for the nine months ended September 30, 2025 and 2024 of $131,807 and $127,439,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(Deficit)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2025, the Company entered into a marketing agreement with a vendor in which the Company agreed to issue 60,000 shares of common stock in exchange for marketing services. The fair value of the common stock was established as a prepaid expense and the Company recognized $81,600 of the expense over the two-month term of the contract. The shares were issued on February 2,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20, 2025, the Company entered into a marketing agreement with a vendor in which the Company agreed to issue 100,000 shares of common stock in exchange for digital marketing services. The fair value of the common stock was established as a prepaid expense and the Company recognized $70,100 of the expense over the three-month term of the contract. On April 11, 2025, the Company issued the 100,000 shares of common stock to the vendor using the market value of $77,000 on that date. The difference between the original expense amount and the value when the shares were issued was reflected in the change in fair value of equity payable in other (income) expense on the condensed consolidated statements of operations.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May 1, 2025, the Company entered into a marketing agreement with a vendor in which the Company agreed to issue 100,000 shares of common stock in exchange for marketing services. The fair value of the common stock was established as a prepaid expense and the Company recognized $51,800 of the expense over the two-month term of the contract. On May 13, 2025, the Company issued the 100,000 shares of common stock to the vendor using the market value of $51,800 on that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2025, the Company entered into a marketing agreement with a vendor in which the Company agreed to issue 160,000 shares of common stock in exchange for marketing services. The fair value of the common stock was established as a prepaid expense and the Company recognized $29,600 of the expense over the two-month term of the contract. On August 1, 2025, the Company issued the 160,000 shares of common stock to the vendor using the market value of $29,600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2025, the Company entered into an Equity Purchase Agreement (the “Purchase Agreement”) with Williamsburg Venture Holdings, LLC (the “Purchaser”), whereby the Company has the right, but not the obligation, to sell to the Purchaser, and the Purchaser is obligated to purchase, up to an aggregate of $10.0 million of shares (the “ELOC Shares”) of the Company’s common stock. The term of the Purchase Agreement is the earlier of June 24, 2027, or the date on which the Purchaser has purchased ELOC Shares for an aggregate purchase price of $10.0 million. The Company has also agreed to issue to the Purchaser 426,829 shares common stock (“Commitment Shares”), which will be issued on a pro rata basis as the Company draws down ELOC shares, with any remaining shares to be issued upon termination. The fair value of the Commitment Shares on the date of the Purchase Agreement of $265,957 was established as accrued issuable equity and was expensed, along with approximately $74,000 of additional issuance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recorded stock-based compensation expense of $73,988 (of which, $17,362 was included in research and development and $56,626 was included in general and administrative expense) related to options issued to employees and consultants. For the three months ended September 30, 2024 the Company recorded stock-based compensation expense of $160,665 (of which, $15,447 was included in research and development and $145,218 was included in general and administrative expense) related to options issued to employees and consultants.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recorded stock-based compensation expense of $205,478 (of which, $48,256 was included in research and development and $157,222 was included in general and administrative expense) related to options issued to employees and consultants. For the nine months ended September 30, 2024 the Company recorded stock-based compensation expense of $544,902 (of which, $46,342 was included in research and development and $498,560 was included in general and administrative expense) related to options issued to employees and board members. As of September 30, 2025 there was $317,710 of unrecognized stock-based compensation expense, which the Company expects to recognize over a weighted average period of 1.9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11, 2025, the Company granted ten-year stock options to purchase 377,964 shares of common stock to employees and directors of the Company under the 2022 Plan. The stock options have an aggregate grant date value of $201,296, vest annually over three years and have an exercise price of $0.59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grant date fair value of stock options granted during the three and nine months September 30, 2025 and 2024 was determined using the Black Scholes method, with the following assumptions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2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47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on date of grant</w:t>
            </w: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N/A</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w:t>
            </w:r>
          </w:p>
        </w:tc>
        <w:tc>
          <w:tcPr>
            <w:tcW w:w="42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6.00</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98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nine months ended September 30,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29"/>
        </w:trPr>
        <w:tc>
          <w:tcPr>
            <w:tcW w:w="4500" w:type="dxa"/>
            <w:vAlign w:val="bottom"/>
          </w:tcPr>
          <w:p>
            <w:pPr>
              <w:spacing w:after="0"/>
              <w:rPr>
                <w:sz w:val="19"/>
                <w:szCs w:val="19"/>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5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45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2,248.58</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377,964</w:t>
            </w:r>
          </w:p>
        </w:tc>
        <w:tc>
          <w:tcPr>
            <w:tcW w:w="2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1,760.50</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September 30, 2025</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2,598.23</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options as of September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388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54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4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29"/>
        </w:trPr>
        <w:tc>
          <w:tcPr>
            <w:tcW w:w="440" w:type="dxa"/>
            <w:vAlign w:val="bottom"/>
          </w:tcPr>
          <w:p>
            <w:pPr>
              <w:spacing w:after="0"/>
              <w:rPr>
                <w:sz w:val="19"/>
                <w:szCs w:val="19"/>
                <w:color w:val="auto"/>
              </w:rPr>
            </w:pPr>
          </w:p>
        </w:tc>
        <w:tc>
          <w:tcPr>
            <w:tcW w:w="19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440" w:type="dxa"/>
            <w:vAlign w:val="bottom"/>
          </w:tcPr>
          <w:p>
            <w:pPr>
              <w:spacing w:after="0"/>
              <w:rPr>
                <w:sz w:val="20"/>
                <w:szCs w:val="20"/>
                <w:color w:val="auto"/>
              </w:rPr>
            </w:pPr>
          </w:p>
        </w:tc>
        <w:tc>
          <w:tcPr>
            <w:tcW w:w="198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10"/>
        </w:trPr>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377,964</w:t>
            </w:r>
          </w:p>
        </w:tc>
        <w:tc>
          <w:tcPr>
            <w:tcW w:w="2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152.50</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4,157</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738.50</w:t>
            </w: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791.00</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1,760.50</w:t>
            </w: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1,127</w:t>
            </w: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1,127</w:t>
            </w:r>
          </w:p>
        </w:tc>
      </w:tr>
      <w:tr>
        <w:trPr>
          <w:trHeight w:val="216"/>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3,965.50</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4,053.00</w:t>
            </w: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2,095</w:t>
            </w: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2,095</w:t>
            </w:r>
          </w:p>
        </w:tc>
      </w:tr>
      <w:tr>
        <w:trPr>
          <w:trHeight w:val="229"/>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5,726.00</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1,720</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1,720</w:t>
            </w:r>
          </w:p>
        </w:tc>
      </w:tr>
      <w:tr>
        <w:trPr>
          <w:trHeight w:val="223"/>
        </w:trPr>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7, 2025, the Company closed on a private placement (the “Private Placement”) with an institutional investor, pursuant to which the Company sold pre-funded warrants (the “March 2025 Pre-Funded Warrants”) to purchase 2,105,265 shares of common stock and Series A-3 common warrants (the “March 2025 Common Warrants”) to purchase 2,105,265 shares of common stock at a combined purchase price of $0.9499 which resulted in gross proceeds of approximately $2.0 million. In addition, the Company and the investor executed an amendment to certain November 5, 2024 common share purchase warrants to reduce the exercise price of certain outstanding warrants to purchase 957,200 shares of common stock from $2.06 per share to $1.00 per share. The $53,890 incremental fair value of the modified warrants as compared to the original warrants was recognized as an additional issuance cost of the Private Placement. The March 2025 Pre-Funded Warrants are exercisable immediately, may be exercised at any time until all March 2025 Pre-Funded Warrants are exercised in full, and have an exercise price of $0.0001 per share. As of September 30, 2025, all March 2025 Pre-Funded Warrants were exercised. The March 2025 Common Warrants became exercisable upon Stockholder Approval on June 11, 2025 for a term of five years and have an exercise price of $1.00 per share. Total cash issuance costs were $282,849 including $199,863 of placement fees, $56,844 of legal fees, and $26,142 of other costs.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Inducement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2025, the Company entered into a warrant exercise inducement offer letter agreement (the “Inducement Letter”) with a holder (the “Holder”) of</w:t>
      </w:r>
    </w:p>
    <w:p>
      <w:pPr>
        <w:spacing w:after="0" w:line="27" w:lineRule="exact"/>
        <w:rPr>
          <w:sz w:val="20"/>
          <w:szCs w:val="20"/>
          <w:color w:val="auto"/>
        </w:rPr>
      </w:pPr>
    </w:p>
    <w:p>
      <w:pPr>
        <w:jc w:val="both"/>
        <w:ind w:firstLine="8"/>
        <w:spacing w:after="0" w:line="253"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Series A-2 common stock purchase warrants, as amended (the “Series A-2 Warrants”), exercisable for up to an aggregate of 957,200 shares of the Company’s common stock, and (ii) Series A-3 common stock purchase warrants (the “Series A-3 Warrants” and together with the Series A-2 Warrants, the “Existing Warrants”) exercisable for up to an aggregate of 2,105,265 shares of common stock, which warrants were originally issued by the Company on November 5, 2024 and March 5, 2024, respectively. The Existing Warrants had an exercise price of $1.00 per share.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Holder agreed to exercise the Existing Warrants for cash at a reduced exercise price of $0.67 per share in consideration of the Company’s agreement to issue the Holder new warrants to purchase up to a number of shares of common stock equal to 200% of the number of shares of common stock issued pursuant to the Holder’s exercise of Existing Warrants, comprised of new Series A-4 warrants to purchase up to 6,124,930 shares of common stock (the “Inducement Warrants”) at an exercise price of $0.67 per share with an exercise term of 5 years from the initial exercise date. The Company received $2,051,852 in cash proceeds and incurred $175,221 in transaction costs consisting of $133,370 cash fee paid to its financial advisor and $41,851 in other fees. As a result of the reduction in exercise price of the Existing Warrants, the Company recognized a non-cash warrant modification charge of $1,762,756. Because the modification represented a short-term inducement, modification accounting was only performed on the warrants that were actually exercised under the program. The Company recognized the $1,762,756 modification-date incremental value of the modified Existing Warrants and Inducement Warrants issued as compared to the original Existing Warrants, as an issuance cost of the warrant exercise, which was classified as equity with no impact on the condensed consolidated statements of operations. The initial exercise date of the Inducement Warrants is the date that the Company’s stockholders approve the issuance of shares of common stock underlying the warrants (the “Inducement Warrants Shares”) pursuant to the applicable rules and regulations of The Nasdaq Stock Market LLC (“Nasdaq”). On October 6, 2025, Nasdaq filed with the SEC a Form 25, removing and delisting the Company’s securities from Nasdaq. Based on the foregoing and because applicable rules and regulations of the OTC Markets Group Inc. do not require stockholder approval for the issuance of the Inducement Warrant Shares, the Company noted that stockholder approval is no longer required.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modification date fair value of warrants modified during the three and nine months ended September 30, 2025 and 2024 was determined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 Scholes method, with the following assumptions used: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tcPr>
          <w:p>
            <w:pPr>
              <w:spacing w:after="0"/>
              <w:rPr>
                <w:sz w:val="19"/>
                <w:szCs w:val="19"/>
                <w:color w:val="auto"/>
              </w:rPr>
            </w:pPr>
          </w:p>
        </w:tc>
        <w:tc>
          <w:tcPr>
            <w:tcW w:w="408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8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3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540" w:type="dxa"/>
            <w:vAlign w:val="bottom"/>
            <w:tcBorders>
              <w:bottom w:val="single" w:sz="8" w:color="auto"/>
            </w:tcBorders>
            <w:gridSpan w:val="4"/>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3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178"/>
        </w:trPr>
        <w:tc>
          <w:tcPr>
            <w:tcW w:w="33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Fair value of common stock on date of</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0.64</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3.46</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$0.64 - $0.98</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 - 4.62%</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 - 4.09%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 - 4.62%</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4.9 years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0.9 - 5.5 years</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4.9 - 5.3 years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0.9 - 5.5 years</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 - 113%</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 - 113%</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3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 activity for the nine months ended September 30,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29"/>
        </w:trPr>
        <w:tc>
          <w:tcPr>
            <w:tcW w:w="426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26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4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1,747,093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59.59</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42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Issued</w:t>
            </w:r>
            <w:r>
              <w:rPr>
                <w:rFonts w:ascii="Times New Roman" w:cs="Times New Roman" w:eastAsia="Times New Roman" w:hAnsi="Times New Roman"/>
                <w:sz w:val="29"/>
                <w:szCs w:val="29"/>
                <w:color w:val="auto"/>
                <w:vertAlign w:val="superscript"/>
              </w:rPr>
              <w:t>[1]</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8,230,195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0.75</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42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[2]</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(957,200)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42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[2]</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957,200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42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[3]</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(957,200)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42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957,200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0.67</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42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[4]</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(2,105,265)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42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[4]</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2,105,265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0.67</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12.50</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0"/>
        </w:trPr>
        <w:tc>
          <w:tcPr>
            <w:tcW w:w="42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9"/>
                <w:szCs w:val="29"/>
                <w:color w:val="auto"/>
                <w:vertAlign w:val="superscript"/>
              </w:rPr>
              <w:t>[1]</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(3,062,465)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0.67</w:t>
            </w: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3"/>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6,911,773</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3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4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September 30, 2025</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6,911,573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15.29</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and exercised exclude 2,105,265 March 2025 Pre-Funded Warrants with an exercise price of $0.0001.</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November 2024 warrants to purchase 957,200 shares of common stock from $2.06 to $1.00 per share.</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March 2025 warrants to purchase 957,200 shares of common stock from $1.00 to $0.67 per share.</w:t>
      </w:r>
    </w:p>
    <w:p>
      <w:pPr>
        <w:spacing w:after="0" w:line="16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March 2025 warrants to purchase 2,105,265 shares of common stock from $1.00 to $0.67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warrants as of September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0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w w:val="97"/>
              </w:rPr>
              <w:t>Warrants Outstanding</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Warrants Exercisable</w:t>
            </w:r>
          </w:p>
        </w:tc>
        <w:tc>
          <w:tcPr>
            <w:tcW w:w="1120" w:type="dxa"/>
            <w:vAlign w:val="bottom"/>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3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16"/>
                <w:szCs w:val="16"/>
                <w:color w:val="auto"/>
              </w:rPr>
            </w:pPr>
          </w:p>
        </w:tc>
        <w:tc>
          <w:tcPr>
            <w:tcW w:w="21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Exercisable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9"/>
                <w:szCs w:val="19"/>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9"/>
                <w:szCs w:val="19"/>
                <w:color w:val="auto"/>
              </w:rPr>
            </w:pPr>
          </w:p>
        </w:tc>
      </w:tr>
      <w:tr>
        <w:trPr>
          <w:trHeight w:val="238"/>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6,124,930</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6,124,930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1,760.50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480" w:type="dxa"/>
            <w:vAlign w:val="bottom"/>
            <w:tcBorders>
              <w:bottom w:val="single" w:sz="8" w:color="CCEEFF"/>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4,025.00</w:t>
            </w:r>
          </w:p>
        </w:tc>
        <w:tc>
          <w:tcPr>
            <w:tcW w:w="2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w:t>
            </w:r>
          </w:p>
        </w:tc>
        <w:tc>
          <w:tcPr>
            <w:tcW w:w="2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w:t>
            </w: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6,911,773</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6,911,573</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operations and financial condition of ZyVersa Therapeutics, Inc. (the “Company,” “we,” “us” or “our”) as of September 30, 2025 and for the three and nine months ended September 30, 2025 and 2024 should be read together with our unaudited condensed consolidated financial statements and the notes to those financial statements that are included elsewhere in this Quarterly Report on Form 10-Q. Additionally this discussion and analysis should be read together with the Company’s audited financial statements and related disclosures as of December 31, 2024 and for the year then ended, which are included in the Form 10-K (the “Annual Report”) filed with the Securities and Exchange Commission (“SEC”) on March 27, 2025.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clinical stage specialty biopharmaceutical company leveraging advanced proprietary technologies to develop first-in-class drugs for patients with renal or inflammatory diseases with high unmet medical needs.</w:t>
      </w:r>
    </w:p>
    <w:p>
      <w:pPr>
        <w:spacing w:after="0" w:line="16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Our renal drug candidate, which we refer to as 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VAR 200 (2-hydroxypropyl-beta-cyclodextrin or “2HβCD”), is in development to treat multiple renal indications. The lead indication is focal segmental glomerulosclerosis (FSGS). Our anti-inflammatory drug candidate, which we refer to as Inflammasome ASC Inhibitor IC 100, is a humanized monoclonal IgG4 antibody targeting apoptosis-associated speck-like protein containing a caspase recruitment domain (“ASC”) in development to treat multiple inflammatory diseases. The lead indication is obesity with cardiometabolic comorbidities.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and have incurred significant operating losses. Our net losses were $24.3 million for the period from January 1, 2025 through September 30, 2025, compared to $8.0 million for the period from January 1, 2024 through September 30, 2024. As of September 30, 2025, we had an accumulated deficit of approximately $136.9 million and cash of $0.5 million. We expect to continue to incur significant expenses for the foreseeable future and to incur operating losses. We expect our expenses will increase in connection with our ongoing activities as we:</w:t>
      </w:r>
    </w:p>
    <w:p>
      <w:pPr>
        <w:spacing w:after="0" w:line="180"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development of VAR 200 and IC 100;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regulatory submissions;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to manufacture our product candidates for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finance, and general and administrative personnel;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of being a public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15, 2025, we received a determination letter (the “Letter”) from The Nasdaq Stock Market LLC (“Nasdaq”) indicating that the Nasdaq Hearings Panel (the “Panel”) has determined to deny our request to continue our listing on The Nasdaq Capital Market. Our common stock was delisted on October 6, 2025. As a result of the delisting, there may be a very limited market in which our shares are traded, our stockholders may find it difficult to sell their shares of our common stock, and the trading price of our securities, if any, may be adversely affected. We applied for trading on the OTCQB® Venture Market (“OTCQB”) maintained by the OTC Markets Group Inc. to mitigate the risk of delisting from Nasdaq. Our application was approved on July 25, 2025, and our common stock began trading on OTCQB on July 28, 2025, under the symbol “ZVSA.”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893"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the discovery and development of our product candidates, and primarily include:</w:t>
      </w:r>
    </w:p>
    <w:p>
      <w:pPr>
        <w:spacing w:after="0" w:line="225" w:lineRule="exact"/>
        <w:rPr>
          <w:sz w:val="20"/>
          <w:szCs w:val="20"/>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third party agreements with contract research organizations (“CROs”), and investigative sites, that conducted or will conduct our clinical trials and a portion of our pre-clinical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as well as manufacturing cost of our materials used in clinical trials and other development testing;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stock-based compensation and benefits of employees engaged in research and development activities;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equipment, depreciation and other allocated expenses;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for contracted regulatory services as well as fees paid to regulatory authorities including the US Food and Drug Administration (the “FDA”) for review and approval of our product candidates.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continue preclinical and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resulting from many factors, including:</w:t>
      </w:r>
    </w:p>
    <w:p>
      <w:pPr>
        <w:spacing w:after="0" w:line="180"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patient populations participating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a patient receives;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assessments;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state of the product candidates;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years and likely millions of dollars in development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resources, information technology, office, and travel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continue to explore commercial opportunities and partners in both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services and other components associated with the development of our product candidates and manufacturing capabilities. We continue to monitor these developments closely to maintain operational efficiency and help mitigate potential future impacts.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the three months ended September 30,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for the three months ended September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Favorable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8"/>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20" w:type="dxa"/>
            <w:vAlign w:val="bottom"/>
          </w:tcPr>
          <w:p>
            <w:pPr>
              <w:spacing w:after="0"/>
              <w:rPr>
                <w:sz w:val="19"/>
                <w:szCs w:val="19"/>
                <w:color w:val="auto"/>
              </w:rPr>
            </w:pPr>
          </w:p>
        </w:tc>
      </w:tr>
      <w:tr>
        <w:trPr>
          <w:trHeight w:val="209"/>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365</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1,739</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18,648</w:t>
            </w:r>
          </w:p>
        </w:tc>
        <w:tc>
          <w:tcPr>
            <w:tcW w:w="42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(18,648)</w:t>
            </w: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4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(20,752)</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(18,483)</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net loss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(20,657)</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(18,256)</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r>
      <w:tr>
        <w:trPr>
          <w:trHeight w:val="23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851</w:t>
            </w:r>
          </w:p>
        </w:tc>
        <w:tc>
          <w:tcPr>
            <w:tcW w:w="42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$0.4 million for the three months ended September 30, 2025, a decrease of $0.1 million or 16.3% from the three months ended September 30, 2024. The decrease is attributable to lower research and development consultant costs of $75 thousand due to the use of fewer consultants in the current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$1.7 million for the three months ended September 30, 2025, a decrease of $0.1 million or 5.1% from the three months ended September 30, 2024. The decrease is primarily attributable to a decrease of $0.1 million due to lower director and officer insurance premiums, a $0.1 million decrease in professional fees due to lower accounting and legal expense, and a decrease of $0.1 million in stock-based compensation expense due to options becoming fully amortized in 2025. These decreases were slightly offset by an approximately $0.3 million increase in commitment fees related to the Equity Purchase Agreement entered into on June 24,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in-process research and development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Impairment of in-process research and development was $18.6 million for the three months ended September 30, 2025 compared to $0.0 for the three months ended September 30, 2024. The impairment is a result of a significant and sustained decline in the Company’s market capitalization through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was $0.1 million for the three months ended September 30, 2025, an increase of $0.2 million from the three months ended September 30, 2024. The decrease in expense is primarily attributable to a mark to market adjustment in the fair value of equity payable due to the decreased price in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the nine months ended September 30,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for the nine months ended September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Favorable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8"/>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20" w:type="dxa"/>
            <w:vAlign w:val="bottom"/>
          </w:tcPr>
          <w:p>
            <w:pPr>
              <w:spacing w:after="0"/>
              <w:rPr>
                <w:sz w:val="19"/>
                <w:szCs w:val="19"/>
                <w:color w:val="auto"/>
              </w:rPr>
            </w:pPr>
          </w:p>
        </w:tc>
      </w:tr>
      <w:tr>
        <w:trPr>
          <w:trHeight w:val="209"/>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1,034</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1,658</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5,259</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933</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198"/>
        </w:trPr>
        <w:tc>
          <w:tcPr>
            <w:tcW w:w="4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in-process research and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8"/>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18,648</w:t>
            </w:r>
          </w:p>
        </w:tc>
        <w:tc>
          <w:tcPr>
            <w:tcW w:w="420" w:type="dxa"/>
            <w:vAlign w:val="bottom"/>
          </w:tcPr>
          <w:p>
            <w:pPr>
              <w:spacing w:after="0"/>
              <w:rPr>
                <w:sz w:val="21"/>
                <w:szCs w:val="21"/>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(18,648)</w:t>
            </w: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4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(24,941)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(17,091)</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net loss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(25,126)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(17,144)</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29"/>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852</w:t>
            </w:r>
          </w:p>
        </w:tc>
        <w:tc>
          <w:tcPr>
            <w:tcW w:w="42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8620.0%</w:t>
            </w: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$1.0 million for the nine months ended September 30, 2025, a decrease of $0.6 million or 15.1% from the nine months ended September 30, 2024. The decrease is attributable to lower research and development consultant costs of $0.3 million due to fewer consultants, lower CRO fees of $0.2 million for VAR 200 and lower pre-clinical costs of IC 100 of $0.1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$5.3 million for the nine months ended September 30, 2025, a decrease of $0.9 million or 20.6% from the nine months ended September 30, 2024. The decrease is primarily attributable to a decrease of $0.4 million due to lower director and officer insurance premiums, a $0.2 million decrease in investor and public relations marketing expense, a $0.2 million decrease in professional fees due to lower accounting and legal expense, and a decrease of $0.4 million in stock-based compensation expense due to options becoming fully amortized in 2025. These decreases were slightly offset by an approximately $0.3 million increase in commitment fees related to the Equity Purchase Agreement entered into on June 24,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in-process research and development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Impairment of in-process research and development was $18.6 million for the nine months ended September 30, 2025 compared to $0.0 for the nine months ended September 30, 2024. The impairment is a result of a significant and sustained decline in the Company’s market capitalization through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was $0.2 million for the nine months ended September 30, 2025, an increase of $50 thousand from the nine months ended September 30, 2024. The increase in expense is primarily attributable to $250 thousand interest expense charged by a vendor for outstanding amounts owed offset by $200 thousand of income from a mark to market adjustment in the fair value of equity payable due to the decreased price in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and financing activities for the nine months ended September 30, 2025 and for the nine months ended September 30, 2024:</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thousands)</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Net cash provided by (used in)</w:t>
      </w:r>
    </w:p>
    <w:p>
      <w:pPr>
        <w:spacing w:after="0" w:line="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Decrease in Cash</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56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3"/>
        </w:trPr>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448"/>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(4,701)</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34"/>
        </w:trPr>
        <w:tc>
          <w:tcPr>
            <w:tcW w:w="80" w:type="dxa"/>
            <w:vAlign w:val="bottom"/>
          </w:tcPr>
          <w:p>
            <w:pPr>
              <w:spacing w:after="0"/>
              <w:rPr>
                <w:sz w:val="20"/>
                <w:szCs w:val="20"/>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3,698</w:t>
            </w:r>
          </w:p>
        </w:tc>
        <w:tc>
          <w:tcPr>
            <w:tcW w:w="5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3,290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4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99"/>
              </w:rPr>
              <w:t>16</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-599440</wp:posOffset>
            </wp:positionV>
            <wp:extent cx="641223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-899160</wp:posOffset>
            </wp:positionV>
            <wp:extent cx="641223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720" w:space="720"/>
            <w:col w:w="5800"/>
          </w:cols>
          <w:pgMar w:left="320" w:top="65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approximately $4.7 million and $6.3 million for the nine months ended September 30, 2025 and 2024, respectively. For the nine months ended September 30, 2025 and 2024, the net cash used in operating activities was primarily attributable to the net loss of approximately $24.3 million and $8.0 million, respectively, offset by $18.2 million and $0.6 million, respectively, of net non-cash expenses, and approximately $1.3 million and $1.0 million, respectively, of cash generated by (used in) the levels of operating assets and liabilities,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$3.7 million and $3.3 million for the nine months ended September 30, 2025 and 2024, respectively. Cash provided by financing activities during the nine months ended September 30, 2025 represented $2.0 million of proceeds from the private placement of warrants and $2.1 million from the exercise proceeds of a warrant inducement offer. This was partially offset by ($0.4) million in registration and issuance costs associated with warrant issuance. Cash provided by financing activities during the nine months ended September 30, 2024 represented $2.7 million proceeds from the exercise of warrants and $0.8 million exercise proceeds of a warrant inducement offer. This was partially offset by ($0.2) million in registration and issuance costs associated with the warrant issuance.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current assets, liabilities and working capital deficiency at September 30, 2025 and 2024, respectively:</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12,766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11,231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Working Capital Deficiency</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(11,770</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(9,515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Since our inception in 2014 through September 30, 2025, we have not generated any revenue and have incurred significant operating losses and negative cash flows from our operations. Based on our current operating plan, we expect our cash of $0.5 million as of September 30, 2025 will only be sufficient to fund our operating expenses and capital expenditure requirements on a month-to-month basis.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which contemplates the continuation of operations, realization of assets and liquidation of liabilities in the ordinary course of business. The financial statements do not include any adjustments to reflect the possible future effects on the recoverability and classification of assets or the amounts and classification of liabilities that may result from the possible inability to continue as a going concern. We incurred a net loss of $24.3 million for the nine months ended September 30, 2025 and had an accumulated deficit of $136.9 million on September 30, 2025.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to fund our operations, to complete development of and to commercialize our product candidates. There is no assurance that such financing will be available when needed or on acceptable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contractual obligations as of September 30, 2025 that will affect our future liquidity. Based on our current operating plan, we plan to satisfy the obligations identified below from our current cash balance and future financing.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Cash requirements for our current liabilities as of September 30, 2025 are approximately $12.8 million for accounts payable and accrued expenses.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Capital Needs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cash on hand will enable us to invest in our continued development of VAR 200 and IC 100 on a month-to-month basis as cash is available. We intend to raise additional capital in the future to fund continued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raise additional capital by issuing equity, equity-linked securities, or debt in subsequent offerings. If we are unable to raise additional capital on terms favorable to us, we may not have sufficient liquidity to execute our business strategy. We have various warrants outstanding that can be exercised for our common stock, many of which must be exercised in exchange for cash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invest any cash exceeding our immediate requirements in investments designed to preserve the principal balance and provide liquidity while producing a modest return on investment.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incur substantial additional operating losses for at least the next several years as we continue to develop our product candidates and seek marketing approval and, the eventual commercialization of our product candidates if approved. If we obtain marketing approval for our product candidates, we will incur significant sales, marketing and outsourced manufacturing expenses. In addition, we expect to incur additional expenses to add operational, financial, and information systems and personnel, to support our planned product development efforts, and other initiatives. We also expect to incur significant costs to comply with corporate governance, internal controls, and requirements applicable to public companies.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use of operating cash and capital requirements will depend on many forward-looking factors, including the following:</w:t>
      </w:r>
    </w:p>
    <w:p>
      <w:pPr>
        <w:spacing w:after="0" w:line="22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development plans and clinical trials for our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in-license;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execute;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implementation of commercial scale manufacturing activities;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approved or development products and develop additional products and product candidates to augment our internal development pipeline or expand our existing operations. Strategic transaction opportunities that we may pursue could materially affect our liquidity and capital resources and may require us to incur additional indebtedness, seek equity capital or both. Strategic transactions may also be structured as a collaboration or partnering arrangement. We have no arrangements, agreements, or understandings in place at the present time to enter into any acquisition, in-licensing or similar strategic business transaction. We continue to evaluate commercial collaborations and strategic relationships with established pharmaceutical companies, which would provide us with more immediate access to marketing, sales, market access and distribution infrastructure.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apply to private companies. ZyVersa expects to use this extended transition period to enable compliance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off-balance sheet arrangements with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Our critical accounting estimates are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In-Process Research and Development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for the impairment of in-process research and development whenever events or changes in circumstances indicate that the carrying amount of an asset may not be recoverable. The Company measures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the Company to make assumptions about future cash flows over the life of the asset being evaluated. These assumptions require significant judgement, and actual results may differ from assumed and estimated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2025. Based upon their evaluation, our Chief Executive Officer and Chief Financial Officer concluded that our disclosure controls and procedures (as defined in Rules 13a-15(e) and 15d-15(e) under the Exchange Act)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errors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errors or fraud will not occur or that all control issues and instances of fraud, if any, within the Company have been detected.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as of the date of this Quarterly Report on Form 10-Q to the risk factors set forth in our Annual Report on Form 10-K for the year ended December 31, 2024, filed with the SEC on March 27, 2025, other than those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has been delisted from The Nasdaq Capital Market.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October 6, 2025, our common stock was delisted from The Nasdaq Capital Market. Our common stock is currently quoted on the OTCQB under the ticker symbol “ZVSA.” We can provide no assurance that our common stock will continue to trade on this market, whether broker-dealers will continue to provide public quotes of our common stock on this market, whether the trading volume of our common stock will be sufficient to provide for an efficient trading market or whether quotes for our common stock will continue on this market in the future. Stocks trading in the OTC Markets generally have substantially less liquidity; consequently, it can be much more difficult for stockholders and broker/dealers to purchase and sell our shares in an orderly manner or at all. Due in part to the decreased trading price of our common stock and reduced analyst coverage, the trading price of our common stock may change quickly, and brokers may not be able to execute trades as quickly as they previously could when our common stock was listed on a national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ectPr>
          <w:pgSz w:w="11900" w:h="16838" w:orient="portrait"/>
          <w:cols w:equalWidth="0" w:num="1">
            <w:col w:w="11240"/>
          </w:cols>
          <w:pgMar w:left="320" w:top="657"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822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right="200"/>
        <w:spacing w:after="0" w:line="261" w:lineRule="auto"/>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Second Amended and Restated Certificate of Incorporation of ZyVersa Therapeutics, Inc. (incorporated by reference to Exhibit 3.1 to</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the Company’s Current Report on Form 10-Q filed with the SEC on August 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6231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ind w:right="520"/>
        <w:spacing w:after="0" w:line="250"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Second Amended and Restated Bylaws of ZyVersa Therapeutics, Inc. (incorporated by reference to Exhibit 3.2 to the Company’s</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Current Report on Form 8-K filed with the SEC on December 13, 2022).</w:t>
        </w:r>
      </w:hyperlink>
    </w:p>
    <w:p>
      <w:pPr>
        <w:spacing w:after="0" w:line="1" w:lineRule="exact"/>
        <w:rPr>
          <w:sz w:val="20"/>
          <w:szCs w:val="20"/>
          <w:color w:val="auto"/>
        </w:rPr>
      </w:pPr>
    </w:p>
    <w:p>
      <w:pPr>
        <w:ind w:right="740"/>
        <w:spacing w:after="0" w:line="250" w:lineRule="auto"/>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Certificate of Designation relating to the Series A Convertible Preferred Stock (incorporated by reference to Exhibit 3.3 to the</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Company’s Current Report on Form 8-K filed with the SEC on December 13, 2022).</w:t>
        </w:r>
      </w:hyperlink>
    </w:p>
    <w:p>
      <w:pPr>
        <w:spacing w:after="0" w:line="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Form of Series A-4 Warrant (incorporated by reference to Exhibit 4.1 to the Company’s Current Report on Form 8-K filed with the SEC</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on July 9, 2025).</w:t>
        </w:r>
      </w:hyperlink>
    </w:p>
    <w:p>
      <w:pPr>
        <w:spacing w:after="0" w:line="1" w:lineRule="exact"/>
        <w:rPr>
          <w:sz w:val="20"/>
          <w:szCs w:val="20"/>
          <w:color w:val="auto"/>
        </w:rPr>
      </w:pPr>
    </w:p>
    <w:p>
      <w:pPr>
        <w:ind w:right="220"/>
        <w:spacing w:after="0" w:line="250" w:lineRule="auto"/>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Inducement Letter, dated July 8, 2025 (incorporated by reference to Exhibit 10.1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with the SEC on July 9, 2025).</w:t>
        </w:r>
      </w:hyperlink>
    </w:p>
    <w:p>
      <w:pPr>
        <w:spacing w:after="0" w:line="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Financial Advisory Agreement, dated July 8, 2025 (incorporated by reference to Exhibit 10.2 to the Company’s Current Report on Form</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8-K filed with the SEC on July 9, 2025).</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Chief Executive Officer pursuant to Rule 13a-14(a) or Rule 15d-14(a).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Chief Financial Officer pursuant to Rule 13a-14(a) or Rule 15d-14(a)</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Chief Executive Officer and Chief Financial Officer pursuant to 18 U.S.C. Section 1350.</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XBRL Inline Instance Document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p>
      <w:pPr>
        <w:spacing w:after="0" w:line="200" w:lineRule="exact"/>
        <w:rPr>
          <w:sz w:val="20"/>
          <w:szCs w:val="20"/>
          <w:color w:val="auto"/>
        </w:rPr>
      </w:pPr>
    </w:p>
    <w:p>
      <w:pPr>
        <w:sectPr>
          <w:pgSz w:w="11900" w:h="16838" w:orient="portrait"/>
          <w:cols w:equalWidth="0" w:num="2">
            <w:col w:w="800" w:space="620"/>
            <w:col w:w="9820"/>
          </w:cols>
          <w:pgMar w:left="320" w:top="657" w:right="339" w:bottom="1440" w:gutter="0" w:footer="0" w:header="0"/>
          <w:type w:val="continuous"/>
        </w:sectPr>
      </w:pPr>
    </w:p>
    <w:p>
      <w:pPr>
        <w:spacing w:after="0" w:line="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19,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19,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 Glover,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19, 2025</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Wolfe,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19, 2025</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3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ZYVERSA THERAPEUTICS, INC. (the “Company”) on Form 10-Q for the quarter ended September 30, 2025,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19, 2025</w:t>
            </w:r>
          </w:p>
        </w:tc>
        <w:tc>
          <w:tcPr>
            <w:tcW w:w="72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tc>
      </w:tr>
      <w:tr>
        <w:trPr>
          <w:trHeight w:val="191"/>
        </w:trPr>
        <w:tc>
          <w:tcPr>
            <w:tcW w:w="7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19, 2025</w:t>
            </w:r>
          </w:p>
        </w:tc>
        <w:tc>
          <w:tcPr>
            <w:tcW w:w="72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7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16"/>
        </w:trPr>
        <w:tc>
          <w:tcPr>
            <w:tcW w:w="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8" Type="http://schemas.openxmlformats.org/officeDocument/2006/relationships/image" Target="media/image35.png"/><Relationship Id="rId41" Type="http://schemas.openxmlformats.org/officeDocument/2006/relationships/hyperlink" Target="https://www.sec.gov/Archives/edgar/data/1859007/000149315224031002/ex3-1.htm" TargetMode="External"/><Relationship Id="rId43" Type="http://schemas.openxmlformats.org/officeDocument/2006/relationships/hyperlink" Target="https://www.sec.gov/Archives/edgar/data/1859007/000149315222035258/ex3-2.htm" TargetMode="External"/><Relationship Id="rId44" Type="http://schemas.openxmlformats.org/officeDocument/2006/relationships/hyperlink" Target="https://www.sec.gov/Archives/edgar/data/1859007/000149315222035258/ex3-3.htm" TargetMode="External"/><Relationship Id="rId45" Type="http://schemas.openxmlformats.org/officeDocument/2006/relationships/hyperlink" Target="https://www.sec.gov/Archives/edgar/data/1859007/000164117225018403/ex4-1.htm" TargetMode="External"/><Relationship Id="rId46" Type="http://schemas.openxmlformats.org/officeDocument/2006/relationships/hyperlink" Target="https://www.sec.gov/Archives/edgar/data/1859007/000164117225018403/ex10-1.htm" TargetMode="External"/><Relationship Id="rId47" Type="http://schemas.openxmlformats.org/officeDocument/2006/relationships/hyperlink" Target="https://www.sec.gov/Archives/edgar/data/1859007/000164117225018403/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2025-11-19T15:30:12Z</dcterms:created>
  <dcterms:modified xsi:type="dcterms:W3CDTF">2025-11-19T15:30:12Z</dcterms:modified>
</cp:coreProperties>
</file>