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560" w:right="940" w:hanging="2619"/>
        <w:spacing w:after="0" w:line="500" w:lineRule="auto"/>
        <w:tabs>
          <w:tab w:leader="none" w:pos="115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_________to_________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001-41184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ZYVERSA THERAPEUTICS,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52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6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86-2685744</w:t>
            </w:r>
          </w:p>
        </w:tc>
      </w:tr>
      <w:tr>
        <w:trPr>
          <w:trHeight w:val="216"/>
        </w:trPr>
        <w:tc>
          <w:tcPr>
            <w:tcW w:w="452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52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52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2200 N. Commerce Parkway, Suite 208</w:t>
            </w: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20"/>
        </w:trPr>
        <w:tc>
          <w:tcPr>
            <w:tcW w:w="452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Weston, FL 33326</w:t>
            </w: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6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33326</w:t>
            </w:r>
          </w:p>
        </w:tc>
      </w:tr>
      <w:tr>
        <w:trPr>
          <w:trHeight w:val="234"/>
        </w:trPr>
        <w:tc>
          <w:tcPr>
            <w:tcW w:w="452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(754) 231-1688</w:t>
            </w:r>
          </w:p>
        </w:tc>
        <w:tc>
          <w:tcPr>
            <w:tcW w:w="2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34"/>
        </w:trPr>
        <w:tc>
          <w:tcPr>
            <w:tcW w:w="11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32"/>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439"/>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ZVSA</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6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Accelerated filer</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6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8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10, 2024, the number of shares outstanding of the registrant’s common stock, $0.0001 par value per share, was 834,896.</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as otherwise indicated, all share and per share information in this Report gives effect to the reverse stock split of the registrant’s outstanding common stock at a ratio of one-for-ten shares, which was effected as of 4:01 p.m. Eastern Time on April 25,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40" w:right="339" w:bottom="303"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0" w:type="dxa"/>
            <w:vAlign w:val="bottom"/>
            <w:gridSpan w:val="9"/>
          </w:tcPr>
          <w:p>
            <w:pPr>
              <w:jc w:val="center"/>
              <w:ind w:right="2800"/>
              <w:spacing w:after="0"/>
              <w:rPr>
                <w:sz w:val="20"/>
                <w:szCs w:val="20"/>
                <w:color w:val="auto"/>
              </w:rPr>
            </w:pPr>
            <w:r>
              <w:rPr>
                <w:rFonts w:ascii="Times New Roman" w:cs="Times New Roman" w:eastAsia="Times New Roman" w:hAnsi="Times New Roman"/>
                <w:sz w:val="18"/>
                <w:szCs w:val="18"/>
                <w:b w:val="1"/>
                <w:bCs w:val="1"/>
                <w:color w:val="auto"/>
                <w:w w:val="98"/>
              </w:rPr>
              <w:t>ZYVERSA THERAPEUTICS, INC.</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160" w:type="dxa"/>
            <w:vAlign w:val="bottom"/>
            <w:gridSpan w:val="12"/>
          </w:tcPr>
          <w:p>
            <w:pPr>
              <w:jc w:val="center"/>
              <w:ind w:right="2220"/>
              <w:spacing w:after="0"/>
              <w:rPr>
                <w:sz w:val="20"/>
                <w:szCs w:val="20"/>
                <w:color w:val="auto"/>
              </w:rPr>
            </w:pPr>
            <w:r>
              <w:rPr>
                <w:rFonts w:ascii="Times New Roman" w:cs="Times New Roman" w:eastAsia="Times New Roman" w:hAnsi="Times New Roman"/>
                <w:sz w:val="18"/>
                <w:szCs w:val="18"/>
                <w:b w:val="1"/>
                <w:bCs w:val="1"/>
                <w:color w:val="auto"/>
                <w:w w:val="99"/>
              </w:rPr>
              <w:t>INDEX TO CONDENSED CONSOLIDATED FINANCIAL STATEMENTS</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4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6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 Financial Statements.</w:t>
            </w:r>
          </w:p>
        </w:tc>
        <w:tc>
          <w:tcPr>
            <w:tcW w:w="4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2024 (unaudited) and December 31, 2023</w:t>
            </w:r>
          </w:p>
        </w:tc>
        <w:tc>
          <w:tcPr>
            <w:tcW w:w="4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for the Three Months Ended March 31, 2024 and March 31, 2023</w:t>
            </w:r>
          </w:p>
        </w:tc>
        <w:tc>
          <w:tcPr>
            <w:tcW w:w="4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24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Changes in Stockholders’ Equity for the Three Months Ended March 31, 2024 and March</w:t>
            </w:r>
          </w:p>
        </w:tc>
        <w:tc>
          <w:tcPr>
            <w:tcW w:w="2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60" w:type="dxa"/>
            <w:vAlign w:val="bottom"/>
            <w:gridSpan w:val="4"/>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0000EE"/>
              </w:rPr>
              <w:t>31, 2023</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Three Months Ended March 31, 2024 and March 31, 2023</w:t>
            </w:r>
          </w:p>
        </w:tc>
        <w:tc>
          <w:tcPr>
            <w:tcW w:w="4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4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6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4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6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4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6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4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4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6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 Legal Proceedings.</w:t>
            </w:r>
          </w:p>
        </w:tc>
        <w:tc>
          <w:tcPr>
            <w:tcW w:w="4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6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 Risk Factors.</w:t>
            </w:r>
          </w:p>
        </w:tc>
        <w:tc>
          <w:tcPr>
            <w:tcW w:w="4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6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4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6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Defaults Upon Senior Securities.</w:t>
            </w:r>
          </w:p>
        </w:tc>
        <w:tc>
          <w:tcPr>
            <w:tcW w:w="4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6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4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6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 Other Information.</w:t>
            </w:r>
          </w:p>
        </w:tc>
        <w:tc>
          <w:tcPr>
            <w:tcW w:w="4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6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 Exhibits.</w:t>
            </w:r>
          </w:p>
        </w:tc>
        <w:tc>
          <w:tcPr>
            <w:tcW w:w="4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4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9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5560" w:type="dxa"/>
            <w:vAlign w:val="bottom"/>
            <w:tcBorders>
              <w:top w:val="single" w:sz="8" w:color="CCEEFF"/>
              <w:bottom w:val="single" w:sz="8" w:color="auto"/>
            </w:tcBorders>
            <w:gridSpan w:val="6"/>
          </w:tcPr>
          <w:p>
            <w:pPr>
              <w:jc w:val="center"/>
              <w:ind w:right="4840"/>
              <w:spacing w:after="0"/>
              <w:rPr>
                <w:sz w:val="20"/>
                <w:szCs w:val="20"/>
                <w:color w:val="auto"/>
              </w:rPr>
            </w:pPr>
            <w:r>
              <w:rPr>
                <w:rFonts w:ascii="Times New Roman" w:cs="Times New Roman" w:eastAsia="Times New Roman" w:hAnsi="Times New Roman"/>
                <w:sz w:val="18"/>
                <w:szCs w:val="18"/>
                <w:color w:val="auto"/>
                <w:w w:val="78"/>
              </w:rPr>
              <w:t>i</w:t>
            </w: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40" w:type="dxa"/>
            <w:vAlign w:val="bottom"/>
            <w:gridSpan w:val="3"/>
          </w:tcPr>
          <w:p>
            <w:pPr>
              <w:jc w:val="center"/>
              <w:ind w:left="383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340" w:type="dxa"/>
            <w:vAlign w:val="bottom"/>
            <w:gridSpan w:val="3"/>
          </w:tcPr>
          <w:p>
            <w:pPr>
              <w:jc w:val="center"/>
              <w:ind w:left="3810"/>
              <w:spacing w:after="0"/>
              <w:rPr>
                <w:sz w:val="20"/>
                <w:szCs w:val="20"/>
                <w:color w:val="auto"/>
              </w:rPr>
            </w:pPr>
            <w:r>
              <w:rPr>
                <w:rFonts w:ascii="Times New Roman" w:cs="Times New Roman" w:eastAsia="Times New Roman" w:hAnsi="Times New Roman"/>
                <w:sz w:val="18"/>
                <w:szCs w:val="18"/>
                <w:b w:val="1"/>
                <w:bCs w:val="1"/>
                <w:color w:val="auto"/>
                <w:w w:val="98"/>
              </w:rPr>
              <w:t>ZYVERSA THERAPEUTICS, INC.</w:t>
            </w: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200" w:type="dxa"/>
            <w:vAlign w:val="bottom"/>
            <w:gridSpan w:val="5"/>
          </w:tcPr>
          <w:p>
            <w:pPr>
              <w:jc w:val="center"/>
              <w:ind w:left="19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6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6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2,033,576</w:t>
            </w: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3,137,674</w:t>
            </w:r>
          </w:p>
        </w:tc>
      </w:tr>
      <w:tr>
        <w:trPr>
          <w:trHeight w:val="24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866,476</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215,459</w:t>
            </w:r>
          </w:p>
        </w:tc>
      </w:tr>
      <w:tr>
        <w:trPr>
          <w:trHeight w:val="203"/>
        </w:trPr>
        <w:tc>
          <w:tcPr>
            <w:tcW w:w="684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2,900,052</w:t>
            </w:r>
          </w:p>
        </w:tc>
        <w:tc>
          <w:tcPr>
            <w:tcW w:w="3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3,353,133</w:t>
            </w:r>
          </w:p>
        </w:tc>
        <w:tc>
          <w:tcPr>
            <w:tcW w:w="100" w:type="dxa"/>
            <w:vAlign w:val="bottom"/>
            <w:tcBorders>
              <w:top w:val="single" w:sz="8" w:color="CCEEFF"/>
            </w:tcBorders>
          </w:tcPr>
          <w:p>
            <w:pPr>
              <w:spacing w:after="0"/>
              <w:rPr>
                <w:sz w:val="17"/>
                <w:szCs w:val="17"/>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net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4,333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6,933</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18,647,903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18,647,903</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Vendor deposit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98,476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98,476</w:t>
            </w:r>
          </w:p>
        </w:tc>
      </w:tr>
      <w:tr>
        <w:trPr>
          <w:trHeight w:val="23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7,839</w:t>
            </w:r>
          </w:p>
        </w:tc>
      </w:tr>
      <w:tr>
        <w:trPr>
          <w:trHeight w:val="229"/>
        </w:trPr>
        <w:tc>
          <w:tcPr>
            <w:tcW w:w="68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21,650,764</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22,114,284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8,127,746</w:t>
            </w: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8,431,583</w:t>
            </w: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1,454,970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1,754,533</w:t>
            </w:r>
          </w:p>
        </w:tc>
      </w:tr>
      <w:tr>
        <w:trPr>
          <w:trHeight w:val="23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8,656</w:t>
            </w:r>
          </w:p>
        </w:tc>
      </w:tr>
      <w:tr>
        <w:trPr>
          <w:trHeight w:val="216"/>
        </w:trPr>
        <w:tc>
          <w:tcPr>
            <w:tcW w:w="68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9,582,716</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10,194,772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844,914</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844,914</w:t>
            </w:r>
          </w:p>
        </w:tc>
      </w:tr>
      <w:tr>
        <w:trPr>
          <w:trHeight w:val="223"/>
        </w:trPr>
        <w:tc>
          <w:tcPr>
            <w:tcW w:w="68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10,427,630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11,039,686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8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A preferred stock, 8,635 shares designated, 50 shares issued and outstanding as of</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31, 2024 and December 31, 2023</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B preferred stock, 5,062 shares designated, 5,062 shares issued and outstanding as</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March 31, 2024 and December 31, 2023</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198"/>
        </w:trPr>
        <w:tc>
          <w:tcPr>
            <w:tcW w:w="68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250,000,000 shares authorized; 834,903 and 405,212</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as of March 31, 2024 and December 31, 2023, respectively, and 834,896 and</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405,206 shares outstanding as of March 31, 2024 and December 31, 2023, respectively</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117,276,079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114,300,849</w:t>
            </w: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(106,045,861)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(103,219,124)</w:t>
            </w:r>
          </w:p>
        </w:tc>
      </w:tr>
      <w:tr>
        <w:trPr>
          <w:trHeight w:val="23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7 shares at March 31, 2024 and December 31, 2023, respectively</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(7,168)</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(7,168)</w:t>
            </w:r>
          </w:p>
        </w:tc>
      </w:tr>
      <w:tr>
        <w:trPr>
          <w:trHeight w:val="223"/>
        </w:trPr>
        <w:tc>
          <w:tcPr>
            <w:tcW w:w="68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11,223,134</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11,074,598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21,650,764</w:t>
            </w: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22,114,284</w:t>
            </w: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2"/>
        </w:trPr>
        <w:tc>
          <w:tcPr>
            <w:tcW w:w="9200" w:type="dxa"/>
            <w:vAlign w:val="bottom"/>
            <w:gridSpan w:val="5"/>
          </w:tcPr>
          <w:p>
            <w:pPr>
              <w:jc w:val="center"/>
              <w:ind w:left="195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condensed consolidated financial statements.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840" w:type="dxa"/>
            <w:vAlign w:val="bottom"/>
            <w:tcBorders>
              <w:bottom w:val="single" w:sz="8" w:color="auto"/>
            </w:tcBorders>
          </w:tcPr>
          <w:p>
            <w:pPr>
              <w:jc w:val="center"/>
              <w:ind w:left="4310"/>
              <w:spacing w:after="0"/>
              <w:rPr>
                <w:sz w:val="20"/>
                <w:szCs w:val="20"/>
                <w:color w:val="auto"/>
              </w:rPr>
            </w:pPr>
            <w:r>
              <w:rPr>
                <w:rFonts w:ascii="Times New Roman" w:cs="Times New Roman" w:eastAsia="Times New Roman" w:hAnsi="Times New Roman"/>
                <w:sz w:val="18"/>
                <w:szCs w:val="18"/>
                <w:color w:val="auto"/>
                <w:w w:val="88"/>
              </w:rPr>
              <w:t>1</w:t>
            </w: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940" w:type="dxa"/>
            <w:vAlign w:val="bottom"/>
            <w:gridSpan w:val="6"/>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37"/>
        </w:trPr>
        <w:tc>
          <w:tcPr>
            <w:tcW w:w="656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6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512,937</w:t>
            </w:r>
          </w:p>
        </w:tc>
        <w:tc>
          <w:tcPr>
            <w:tcW w:w="4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1,055,943</w:t>
            </w:r>
          </w:p>
        </w:tc>
      </w:tr>
      <w:tr>
        <w:trPr>
          <w:trHeight w:val="250"/>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2,313,699</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3,536,136</w:t>
            </w:r>
          </w:p>
        </w:tc>
      </w:tr>
      <w:tr>
        <w:trPr>
          <w:trHeight w:val="210"/>
        </w:trPr>
        <w:tc>
          <w:tcPr>
            <w:tcW w:w="656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2,826,636</w:t>
            </w:r>
          </w:p>
        </w:tc>
        <w:tc>
          <w:tcPr>
            <w:tcW w:w="30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4,592,079</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(2,826,636)</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(4,592,079)</w:t>
            </w:r>
          </w:p>
        </w:tc>
      </w:tr>
      <w:tr>
        <w:trPr>
          <w:trHeight w:val="216"/>
        </w:trPr>
        <w:tc>
          <w:tcPr>
            <w:tcW w:w="6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expense</w:t>
            </w:r>
          </w:p>
        </w:tc>
        <w:tc>
          <w:tcPr>
            <w:tcW w:w="4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r>
      <w:tr>
        <w:trPr>
          <w:trHeight w:val="216"/>
        </w:trPr>
        <w:tc>
          <w:tcPr>
            <w:tcW w:w="65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Pre-Tax Net Loss</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(2,826,737)</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(4,591,001)</w:t>
            </w:r>
          </w:p>
        </w:tc>
      </w:tr>
      <w:tr>
        <w:trPr>
          <w:trHeight w:val="237"/>
        </w:trPr>
        <w:tc>
          <w:tcPr>
            <w:tcW w:w="6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Income tax benefit</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1,047,051</w:t>
            </w:r>
          </w:p>
        </w:tc>
      </w:tr>
      <w:tr>
        <w:trPr>
          <w:trHeight w:val="230"/>
        </w:trPr>
        <w:tc>
          <w:tcPr>
            <w:tcW w:w="65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(2,826,737</w:t>
            </w:r>
          </w:p>
        </w:tc>
        <w:tc>
          <w:tcPr>
            <w:tcW w:w="300" w:type="dxa"/>
            <w:vAlign w:val="bottom"/>
            <w:tcBorders>
              <w:top w:val="single" w:sz="8" w:color="CCEEFF"/>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(3,543,950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7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(4.53)</w:t>
            </w:r>
          </w:p>
        </w:tc>
        <w:tc>
          <w:tcPr>
            <w:tcW w:w="4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(135.88)</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 and Diluted</w:t>
            </w:r>
          </w:p>
        </w:tc>
        <w:tc>
          <w:tcPr>
            <w:tcW w:w="4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623,600</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26,081</w:t>
            </w: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200" w:type="dxa"/>
            <w:vAlign w:val="bottom"/>
            <w:gridSpan w:val="5"/>
          </w:tcPr>
          <w:p>
            <w:pPr>
              <w:ind w:left="20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56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and 2023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8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gridSpan w:val="11"/>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2024</w:t>
            </w:r>
          </w:p>
        </w:tc>
        <w:tc>
          <w:tcPr>
            <w:tcW w:w="8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840" w:type="dxa"/>
            <w:vAlign w:val="bottom"/>
          </w:tcPr>
          <w:p>
            <w:pPr>
              <w:spacing w:after="0"/>
              <w:rPr>
                <w:sz w:val="10"/>
                <w:szCs w:val="10"/>
                <w:color w:val="auto"/>
              </w:rPr>
            </w:pPr>
          </w:p>
        </w:tc>
        <w:tc>
          <w:tcPr>
            <w:tcW w:w="1060" w:type="dxa"/>
            <w:vAlign w:val="bottom"/>
            <w:gridSpan w:val="3"/>
          </w:tcPr>
          <w:p>
            <w:pPr>
              <w:jc w:val="right"/>
              <w:ind w:right="168"/>
              <w:spacing w:after="0" w:line="124"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4"/>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tcPr>
          <w:p>
            <w:pPr>
              <w:jc w:val="right"/>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right"/>
              <w:ind w:right="188"/>
              <w:spacing w:after="0" w:line="124"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84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Pr>
          <w:p>
            <w:pPr>
              <w:spacing w:after="0"/>
              <w:rPr>
                <w:sz w:val="14"/>
                <w:szCs w:val="14"/>
                <w:color w:val="auto"/>
              </w:rPr>
            </w:pPr>
          </w:p>
        </w:tc>
        <w:tc>
          <w:tcPr>
            <w:tcW w:w="76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Pr>
          <w:p>
            <w:pPr>
              <w:spacing w:after="0"/>
              <w:rPr>
                <w:sz w:val="14"/>
                <w:szCs w:val="14"/>
                <w:color w:val="auto"/>
              </w:rPr>
            </w:pPr>
          </w:p>
        </w:tc>
        <w:tc>
          <w:tcPr>
            <w:tcW w:w="620" w:type="dxa"/>
            <w:vAlign w:val="bottom"/>
            <w:tcBorders>
              <w:top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8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7"/>
        </w:trPr>
        <w:tc>
          <w:tcPr>
            <w:tcW w:w="2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 December 31, 2023</w:t>
            </w:r>
          </w:p>
        </w:tc>
        <w:tc>
          <w:tcPr>
            <w:tcW w:w="44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CCEEFF"/>
            </w:tcBorders>
            <w:vMerge w:val="restart"/>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840" w:type="dxa"/>
            <w:vAlign w:val="bottom"/>
            <w:vMerge w:val="continue"/>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80" w:type="dxa"/>
            <w:vAlign w:val="bottom"/>
            <w:vMerge w:val="continue"/>
            <w:shd w:val="clear" w:color="auto" w:fill="CCEEFF"/>
          </w:tcPr>
          <w:p>
            <w:pPr>
              <w:spacing w:after="0"/>
              <w:rPr>
                <w:sz w:val="12"/>
                <w:szCs w:val="12"/>
                <w:color w:val="auto"/>
              </w:rPr>
            </w:pPr>
          </w:p>
        </w:tc>
        <w:tc>
          <w:tcPr>
            <w:tcW w:w="440" w:type="dxa"/>
            <w:vAlign w:val="bottom"/>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vMerge w:val="continue"/>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5,062</w:t>
            </w:r>
          </w:p>
        </w:tc>
        <w:tc>
          <w:tcPr>
            <w:tcW w:w="100" w:type="dxa"/>
            <w:vAlign w:val="bottom"/>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80" w:type="dxa"/>
            <w:vAlign w:val="bottom"/>
            <w:vMerge w:val="continue"/>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405,212</w:t>
            </w:r>
          </w:p>
        </w:tc>
        <w:tc>
          <w:tcPr>
            <w:tcW w:w="200" w:type="dxa"/>
            <w:vAlign w:val="bottom"/>
            <w:vMerge w:val="continue"/>
            <w:shd w:val="clear" w:color="auto" w:fill="CCEEFF"/>
          </w:tcPr>
          <w:p>
            <w:pPr>
              <w:spacing w:after="0"/>
              <w:rPr>
                <w:sz w:val="12"/>
                <w:szCs w:val="12"/>
                <w:color w:val="auto"/>
              </w:rPr>
            </w:pPr>
          </w:p>
        </w:tc>
        <w:tc>
          <w:tcPr>
            <w:tcW w:w="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40</w:t>
            </w:r>
          </w:p>
        </w:tc>
        <w:tc>
          <w:tcPr>
            <w:tcW w:w="180" w:type="dxa"/>
            <w:vAlign w:val="bottom"/>
            <w:vMerge w:val="continue"/>
            <w:shd w:val="clear" w:color="auto" w:fill="CCEEFF"/>
          </w:tcPr>
          <w:p>
            <w:pPr>
              <w:spacing w:after="0"/>
              <w:rPr>
                <w:sz w:val="12"/>
                <w:szCs w:val="12"/>
                <w:color w:val="auto"/>
              </w:rPr>
            </w:pPr>
          </w:p>
        </w:tc>
        <w:tc>
          <w:tcPr>
            <w:tcW w:w="620" w:type="dxa"/>
            <w:vAlign w:val="bottom"/>
            <w:tcBorders>
              <w:right w:val="single" w:sz="8" w:color="CCEEFF"/>
            </w:tcBorders>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(7)</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 (7,168)</w:t>
            </w:r>
          </w:p>
        </w:tc>
        <w:tc>
          <w:tcPr>
            <w:tcW w:w="200" w:type="dxa"/>
            <w:vAlign w:val="bottom"/>
            <w:vMerge w:val="continue"/>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$ 114,300,849</w:t>
            </w:r>
          </w:p>
        </w:tc>
        <w:tc>
          <w:tcPr>
            <w:tcW w:w="180" w:type="dxa"/>
            <w:vAlign w:val="bottom"/>
            <w:tcBorders>
              <w:right w:val="single" w:sz="8" w:color="CCEEFF"/>
            </w:tcBorders>
            <w:vMerge w:val="continue"/>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 (103,219,124)</w:t>
            </w:r>
          </w:p>
        </w:tc>
        <w:tc>
          <w:tcPr>
            <w:tcW w:w="20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11,074,598</w:t>
            </w:r>
          </w:p>
        </w:tc>
        <w:tc>
          <w:tcPr>
            <w:tcW w:w="1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Exercise of warrants</w:t>
            </w:r>
          </w:p>
        </w:tc>
        <w:tc>
          <w:tcPr>
            <w:tcW w:w="6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5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213,800</w:t>
            </w:r>
          </w:p>
        </w:tc>
        <w:tc>
          <w:tcPr>
            <w:tcW w:w="3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9"/>
              </w:rPr>
              <w:t>21</w:t>
            </w:r>
          </w:p>
        </w:tc>
        <w:tc>
          <w:tcPr>
            <w:tcW w:w="620" w:type="dxa"/>
            <w:vAlign w:val="bottom"/>
            <w:tcBorders>
              <w:right w:val="single" w:sz="8" w:color="CCEEFF"/>
            </w:tcBorders>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2,672,479</w:t>
            </w:r>
          </w:p>
        </w:tc>
        <w:tc>
          <w:tcPr>
            <w:tcW w:w="108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2,672,500</w:t>
            </w:r>
          </w:p>
        </w:tc>
        <w:tc>
          <w:tcPr>
            <w:tcW w:w="0" w:type="dxa"/>
            <w:vAlign w:val="bottom"/>
          </w:tcPr>
          <w:p>
            <w:pPr>
              <w:spacing w:after="0"/>
              <w:rPr>
                <w:sz w:val="1"/>
                <w:szCs w:val="1"/>
                <w:color w:val="auto"/>
              </w:rPr>
            </w:pPr>
          </w:p>
        </w:tc>
      </w:tr>
      <w:tr>
        <w:trPr>
          <w:trHeight w:val="148"/>
        </w:trPr>
        <w:tc>
          <w:tcPr>
            <w:tcW w:w="28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Exercise of pre-funded warrants</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131,481</w:t>
            </w:r>
          </w:p>
        </w:tc>
        <w:tc>
          <w:tcPr>
            <w:tcW w:w="34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9"/>
              </w:rPr>
              <w:t>13</w:t>
            </w:r>
          </w:p>
        </w:tc>
        <w:tc>
          <w:tcPr>
            <w:tcW w:w="62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08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84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Issuance of common stock pursuant to</w:t>
            </w:r>
          </w:p>
        </w:tc>
        <w:tc>
          <w:tcPr>
            <w:tcW w:w="6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0"/>
                <w:szCs w:val="10"/>
                <w:color w:val="auto"/>
              </w:rPr>
            </w:pPr>
          </w:p>
        </w:tc>
        <w:tc>
          <w:tcPr>
            <w:tcW w:w="2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84"/>
              </w:rPr>
              <w:t>-</w:t>
            </w:r>
          </w:p>
        </w:tc>
        <w:tc>
          <w:tcPr>
            <w:tcW w:w="5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9,000</w:t>
            </w:r>
          </w:p>
        </w:tc>
        <w:tc>
          <w:tcPr>
            <w:tcW w:w="34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w:t>
            </w:r>
          </w:p>
        </w:tc>
        <w:tc>
          <w:tcPr>
            <w:tcW w:w="620" w:type="dxa"/>
            <w:vAlign w:val="bottom"/>
            <w:tcBorders>
              <w:right w:val="single" w:sz="8" w:color="CCEEFF"/>
            </w:tcBorders>
            <w:gridSpan w:val="2"/>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79,199</w:t>
            </w:r>
          </w:p>
        </w:tc>
        <w:tc>
          <w:tcPr>
            <w:tcW w:w="1080" w:type="dxa"/>
            <w:vAlign w:val="bottom"/>
            <w:gridSpan w:val="2"/>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79,200</w:t>
            </w:r>
          </w:p>
        </w:tc>
        <w:tc>
          <w:tcPr>
            <w:tcW w:w="0" w:type="dxa"/>
            <w:vAlign w:val="bottom"/>
          </w:tcPr>
          <w:p>
            <w:pPr>
              <w:spacing w:after="0"/>
              <w:rPr>
                <w:sz w:val="1"/>
                <w:szCs w:val="1"/>
                <w:color w:val="auto"/>
              </w:rPr>
            </w:pPr>
          </w:p>
        </w:tc>
      </w:tr>
      <w:tr>
        <w:trPr>
          <w:trHeight w:val="171"/>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vendor agreements</w:t>
            </w:r>
          </w:p>
        </w:tc>
        <w:tc>
          <w:tcPr>
            <w:tcW w:w="620" w:type="dxa"/>
            <w:vAlign w:val="bottom"/>
            <w:gridSpan w:val="2"/>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620" w:type="dxa"/>
            <w:vAlign w:val="bottom"/>
            <w:tcBorders>
              <w:right w:val="single" w:sz="8" w:color="CCEEFF"/>
            </w:tcBorders>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00" w:type="dxa"/>
            <w:vAlign w:val="bottom"/>
            <w:tcBorders>
              <w:right w:val="single" w:sz="8" w:color="CCEEFF"/>
            </w:tcBorders>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4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Round up share adjustment due to reverse</w:t>
            </w: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0"/>
                <w:szCs w:val="10"/>
                <w:color w:val="auto"/>
              </w:rPr>
            </w:pPr>
          </w:p>
        </w:tc>
        <w:tc>
          <w:tcPr>
            <w:tcW w:w="2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w w:val="84"/>
              </w:rPr>
              <w:t>-</w:t>
            </w:r>
          </w:p>
        </w:tc>
        <w:tc>
          <w:tcPr>
            <w:tcW w:w="5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75,410</w:t>
            </w:r>
          </w:p>
        </w:tc>
        <w:tc>
          <w:tcPr>
            <w:tcW w:w="340" w:type="dxa"/>
            <w:vAlign w:val="bottom"/>
          </w:tcPr>
          <w:p>
            <w:pPr>
              <w:spacing w:after="0"/>
              <w:rPr>
                <w:sz w:val="10"/>
                <w:szCs w:val="10"/>
                <w:color w:val="auto"/>
              </w:rPr>
            </w:pPr>
          </w:p>
        </w:tc>
        <w:tc>
          <w:tcPr>
            <w:tcW w:w="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8</w:t>
            </w:r>
          </w:p>
        </w:tc>
        <w:tc>
          <w:tcPr>
            <w:tcW w:w="62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w:t>
            </w:r>
          </w:p>
        </w:tc>
        <w:tc>
          <w:tcPr>
            <w:tcW w:w="108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split</w:t>
            </w:r>
          </w:p>
        </w:tc>
        <w:tc>
          <w:tcPr>
            <w:tcW w:w="6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6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5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CCEEFF"/>
            </w:tcBorders>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223,573</w:t>
            </w:r>
          </w:p>
        </w:tc>
        <w:tc>
          <w:tcPr>
            <w:tcW w:w="108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223,573</w:t>
            </w:r>
          </w:p>
        </w:tc>
        <w:tc>
          <w:tcPr>
            <w:tcW w:w="0" w:type="dxa"/>
            <w:vAlign w:val="bottom"/>
          </w:tcPr>
          <w:p>
            <w:pPr>
              <w:spacing w:after="0"/>
              <w:rPr>
                <w:sz w:val="1"/>
                <w:szCs w:val="1"/>
                <w:color w:val="auto"/>
              </w:rPr>
            </w:pPr>
          </w:p>
        </w:tc>
      </w:tr>
      <w:tr>
        <w:trPr>
          <w:trHeight w:val="169"/>
        </w:trPr>
        <w:tc>
          <w:tcPr>
            <w:tcW w:w="2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84"/>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(2,826,737)</w:t>
            </w:r>
          </w:p>
        </w:tc>
        <w:tc>
          <w:tcPr>
            <w:tcW w:w="14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(2,826,737)</w:t>
            </w:r>
          </w:p>
        </w:tc>
        <w:tc>
          <w:tcPr>
            <w:tcW w:w="0" w:type="dxa"/>
            <w:vAlign w:val="bottom"/>
          </w:tcPr>
          <w:p>
            <w:pPr>
              <w:spacing w:after="0"/>
              <w:rPr>
                <w:sz w:val="1"/>
                <w:szCs w:val="1"/>
                <w:color w:val="auto"/>
              </w:rPr>
            </w:pPr>
          </w:p>
        </w:tc>
      </w:tr>
      <w:tr>
        <w:trPr>
          <w:trHeight w:val="162"/>
        </w:trPr>
        <w:tc>
          <w:tcPr>
            <w:tcW w:w="2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 March 31, 2024</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1</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834,903</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83</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80" w:type="dxa"/>
            <w:vAlign w:val="bottom"/>
            <w:tcBorders>
              <w:top w:val="single" w:sz="8" w:color="CCEEFF"/>
              <w:bottom w:val="single" w:sz="8" w:color="CCEEFF"/>
              <w:right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8"/>
                <w:szCs w:val="8"/>
                <w:color w:val="auto"/>
                <w:w w:val="73"/>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(7,168</w:t>
            </w:r>
          </w:p>
        </w:tc>
        <w:tc>
          <w:tcPr>
            <w:tcW w:w="200" w:type="dxa"/>
            <w:vAlign w:val="bottom"/>
            <w:tcBorders>
              <w:top w:val="single" w:sz="8" w:color="CCEEFF"/>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$ 117,276,079</w:t>
            </w:r>
          </w:p>
        </w:tc>
        <w:tc>
          <w:tcPr>
            <w:tcW w:w="18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(106,045,861</w:t>
            </w:r>
          </w:p>
        </w:tc>
        <w:tc>
          <w:tcPr>
            <w:tcW w:w="200" w:type="dxa"/>
            <w:vAlign w:val="bottom"/>
            <w:tcBorders>
              <w:top w:val="single" w:sz="8" w:color="CCEEFF"/>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11,223,134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8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gridSpan w:val="11"/>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2023</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87"/>
        </w:trPr>
        <w:tc>
          <w:tcPr>
            <w:tcW w:w="2820" w:type="dxa"/>
            <w:vAlign w:val="bottom"/>
          </w:tcPr>
          <w:p>
            <w:pPr>
              <w:spacing w:after="0"/>
              <w:rPr>
                <w:sz w:val="16"/>
                <w:szCs w:val="16"/>
                <w:color w:val="auto"/>
              </w:rPr>
            </w:pPr>
          </w:p>
        </w:tc>
        <w:tc>
          <w:tcPr>
            <w:tcW w:w="134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Series A</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Series B</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gridSpan w:val="2"/>
          </w:tcPr>
          <w:p>
            <w:pPr>
              <w:spacing w:after="0"/>
              <w:rPr>
                <w:sz w:val="16"/>
                <w:szCs w:val="16"/>
                <w:color w:val="auto"/>
              </w:rPr>
            </w:pPr>
          </w:p>
        </w:tc>
      </w:tr>
      <w:tr>
        <w:trPr>
          <w:trHeight w:val="239"/>
        </w:trPr>
        <w:tc>
          <w:tcPr>
            <w:tcW w:w="2820" w:type="dxa"/>
            <w:vAlign w:val="bottom"/>
          </w:tcPr>
          <w:p>
            <w:pPr>
              <w:spacing w:after="0"/>
              <w:rPr>
                <w:sz w:val="20"/>
                <w:szCs w:val="20"/>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r>
      <w:tr>
        <w:trPr>
          <w:trHeight w:val="223"/>
        </w:trPr>
        <w:tc>
          <w:tcPr>
            <w:tcW w:w="2820" w:type="dxa"/>
            <w:vAlign w:val="bottom"/>
          </w:tcPr>
          <w:p>
            <w:pPr>
              <w:spacing w:after="0"/>
              <w:rPr>
                <w:sz w:val="19"/>
                <w:szCs w:val="19"/>
                <w:color w:val="auto"/>
              </w:rPr>
            </w:pPr>
          </w:p>
        </w:tc>
        <w:tc>
          <w:tcPr>
            <w:tcW w:w="7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9"/>
                <w:szCs w:val="19"/>
                <w:color w:val="auto"/>
              </w:rPr>
            </w:pPr>
          </w:p>
        </w:tc>
        <w:tc>
          <w:tcPr>
            <w:tcW w:w="8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9"/>
                <w:szCs w:val="19"/>
                <w:color w:val="auto"/>
              </w:rPr>
            </w:pPr>
          </w:p>
        </w:tc>
        <w:tc>
          <w:tcPr>
            <w:tcW w:w="8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60" w:type="dxa"/>
            <w:vAlign w:val="bottom"/>
          </w:tcPr>
          <w:p>
            <w:pPr>
              <w:spacing w:after="0"/>
              <w:rPr>
                <w:sz w:val="19"/>
                <w:szCs w:val="19"/>
                <w:color w:val="auto"/>
              </w:rPr>
            </w:pPr>
          </w:p>
        </w:tc>
        <w:tc>
          <w:tcPr>
            <w:tcW w:w="90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03"/>
        </w:trPr>
        <w:tc>
          <w:tcPr>
            <w:tcW w:w="2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 December 31, 2022</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5,062</w:t>
            </w:r>
          </w:p>
        </w:tc>
        <w:tc>
          <w:tcPr>
            <w:tcW w:w="2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25,760</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$ 104,583,271</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(4,921,178)</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99,662,997</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89"/>
        </w:trPr>
        <w:tc>
          <w:tcPr>
            <w:tcW w:w="2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Reclassification of formerly</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2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redeemable common stock</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188</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331,324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331,331</w:t>
            </w:r>
          </w:p>
        </w:tc>
        <w:tc>
          <w:tcPr>
            <w:tcW w:w="80" w:type="dxa"/>
            <w:vAlign w:val="bottom"/>
          </w:tcPr>
          <w:p>
            <w:pPr>
              <w:spacing w:after="0"/>
              <w:rPr>
                <w:sz w:val="18"/>
                <w:szCs w:val="18"/>
                <w:color w:val="auto"/>
              </w:rPr>
            </w:pPr>
          </w:p>
        </w:tc>
      </w:tr>
      <w:tr>
        <w:trPr>
          <w:trHeight w:val="192"/>
        </w:trPr>
        <w:tc>
          <w:tcPr>
            <w:tcW w:w="2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 common stock pursuant to</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6"/>
        </w:trPr>
        <w:tc>
          <w:tcPr>
            <w:tcW w:w="2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vendor agreements</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371</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395,187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395,200</w:t>
            </w:r>
          </w:p>
        </w:tc>
        <w:tc>
          <w:tcPr>
            <w:tcW w:w="80" w:type="dxa"/>
            <w:vAlign w:val="bottom"/>
            <w:shd w:val="clear" w:color="auto" w:fill="CCEEFF"/>
          </w:tcPr>
          <w:p>
            <w:pPr>
              <w:spacing w:after="0"/>
              <w:rPr>
                <w:sz w:val="18"/>
                <w:szCs w:val="18"/>
                <w:color w:val="auto"/>
              </w:rPr>
            </w:pPr>
          </w:p>
        </w:tc>
      </w:tr>
      <w:tr>
        <w:trPr>
          <w:trHeight w:val="189"/>
        </w:trPr>
        <w:tc>
          <w:tcPr>
            <w:tcW w:w="2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Registration costs associated with</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2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stock issuance</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(34,674)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(34,674)</w:t>
            </w:r>
          </w:p>
        </w:tc>
      </w:tr>
      <w:tr>
        <w:trPr>
          <w:trHeight w:val="205"/>
        </w:trPr>
        <w:tc>
          <w:tcPr>
            <w:tcW w:w="2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287,461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287,461</w:t>
            </w:r>
          </w:p>
        </w:tc>
        <w:tc>
          <w:tcPr>
            <w:tcW w:w="80" w:type="dxa"/>
            <w:vAlign w:val="bottom"/>
            <w:shd w:val="clear" w:color="auto" w:fill="CCEEFF"/>
          </w:tcPr>
          <w:p>
            <w:pPr>
              <w:spacing w:after="0"/>
              <w:rPr>
                <w:sz w:val="17"/>
                <w:szCs w:val="17"/>
                <w:color w:val="auto"/>
              </w:rPr>
            </w:pPr>
          </w:p>
        </w:tc>
      </w:tr>
      <w:tr>
        <w:trPr>
          <w:trHeight w:val="223"/>
        </w:trPr>
        <w:tc>
          <w:tcPr>
            <w:tcW w:w="2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9"/>
                <w:szCs w:val="19"/>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(3,543,950)</w:t>
            </w:r>
          </w:p>
        </w:tc>
        <w:tc>
          <w:tcPr>
            <w:tcW w:w="160" w:type="dxa"/>
            <w:vAlign w:val="bottom"/>
          </w:tcPr>
          <w:p>
            <w:pPr>
              <w:spacing w:after="0"/>
              <w:rPr>
                <w:sz w:val="19"/>
                <w:szCs w:val="19"/>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(3,543,950)</w:t>
            </w:r>
          </w:p>
        </w:tc>
      </w:tr>
      <w:tr>
        <w:trPr>
          <w:trHeight w:val="213"/>
        </w:trPr>
        <w:tc>
          <w:tcPr>
            <w:tcW w:w="2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 March 31, 2023</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5,062</w:t>
            </w:r>
          </w:p>
        </w:tc>
        <w:tc>
          <w:tcPr>
            <w:tcW w:w="2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26,320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$ 105,562,569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(8,465,128</w:t>
            </w:r>
          </w:p>
        </w:tc>
        <w:tc>
          <w:tcPr>
            <w:tcW w:w="20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97,098,365</w:t>
            </w:r>
          </w:p>
        </w:tc>
        <w:tc>
          <w:tcPr>
            <w:tcW w:w="80" w:type="dxa"/>
            <w:vAlign w:val="bottom"/>
          </w:tcPr>
          <w:p>
            <w:pPr>
              <w:spacing w:after="0"/>
              <w:rPr>
                <w:sz w:val="18"/>
                <w:szCs w:val="18"/>
                <w:color w:val="auto"/>
              </w:rPr>
            </w:pPr>
          </w:p>
        </w:tc>
      </w:tr>
      <w:tr>
        <w:trPr>
          <w:trHeight w:val="20"/>
        </w:trPr>
        <w:tc>
          <w:tcPr>
            <w:tcW w:w="28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accompanying notes are an integral part of these condensed consolidated financial statements.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60" w:type="dxa"/>
            <w:vAlign w:val="bottom"/>
            <w:gridSpan w:val="7"/>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37"/>
        </w:trPr>
        <w:tc>
          <w:tcPr>
            <w:tcW w:w="620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92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7"/>
              </w:rPr>
              <w:t>(2,826,737)</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(3,543,950)</w:t>
            </w: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223,573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287,461</w:t>
            </w: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common stock pursuant to vendor agreements</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79,200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395,200</w:t>
            </w: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fixed assets</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2,600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2,600</w:t>
            </w: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rent expense</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7,839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22,047</w:t>
            </w: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benefit</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(1,047,051)</w:t>
            </w: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(651,017)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(1,096,204)</w:t>
            </w: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(303,837)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355,441</w:t>
            </w: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(8,656)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(24,249)</w:t>
            </w:r>
          </w:p>
        </w:tc>
      </w:tr>
      <w:tr>
        <w:trPr>
          <w:trHeight w:val="249"/>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7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(299,563)</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59,253</w:t>
            </w:r>
          </w:p>
        </w:tc>
      </w:tr>
      <w:tr>
        <w:trPr>
          <w:trHeight w:val="210"/>
        </w:trPr>
        <w:tc>
          <w:tcPr>
            <w:tcW w:w="620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78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(3,776,598</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(4,589,452</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6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warrants</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2,672,500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Registration and issuance costs associated with preferred stock issuance</w:t>
            </w: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(34,674)</w:t>
            </w:r>
          </w:p>
        </w:tc>
      </w:tr>
      <w:tr>
        <w:trPr>
          <w:trHeight w:val="216"/>
        </w:trPr>
        <w:tc>
          <w:tcPr>
            <w:tcW w:w="6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2,672,500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(34,674)</w:t>
            </w:r>
          </w:p>
        </w:tc>
      </w:tr>
      <w:tr>
        <w:trPr>
          <w:trHeight w:val="216"/>
        </w:trPr>
        <w:tc>
          <w:tcPr>
            <w:tcW w:w="6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Decrease in Cash</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7"/>
              </w:rPr>
              <w:t>(1,104,098)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(4,624,126)</w:t>
            </w:r>
          </w:p>
        </w:tc>
      </w:tr>
      <w:tr>
        <w:trPr>
          <w:trHeight w:val="216"/>
        </w:trPr>
        <w:tc>
          <w:tcPr>
            <w:tcW w:w="6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 Beginning of Period</w:t>
            </w: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3,137,674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5,902,199</w:t>
            </w:r>
          </w:p>
        </w:tc>
      </w:tr>
      <w:tr>
        <w:trPr>
          <w:trHeight w:val="216"/>
        </w:trPr>
        <w:tc>
          <w:tcPr>
            <w:tcW w:w="6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192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2,033,576</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1,278,073</w:t>
            </w:r>
          </w:p>
        </w:tc>
      </w:tr>
      <w:tr>
        <w:trPr>
          <w:trHeight w:val="196"/>
        </w:trPr>
        <w:tc>
          <w:tcPr>
            <w:tcW w:w="6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Reclassification of formerly redeemable common stock</w:t>
            </w:r>
          </w:p>
        </w:tc>
        <w:tc>
          <w:tcPr>
            <w:tcW w:w="192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331,331</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Organization, Nature of Operations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ZyVersa is a clinical stage biopharmaceutical company leveraging proprietary technologies to develop first-in-class drugs for patients with chronic renal or inflammatory diseases with high unmet medical needs. The Company’s mission is to develop drugs that optimize health outcomes and improve patients’ quality of life.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(“U.S. GAAP”) for interim financial information. Accordingly, they do not include all of the information and disclosures required by accounting principles generally accepted in the United States of America for annual financial statements. In the opinion of management, such statements include all adjustments (consisting only of normal recurring items) which are considered necessary for a fair presentation of the unaudited condensed consolidated financial statements of the Company as of March 31, 2024 and for the three months ended March 31, 2024 and 2023. The results of operations for the three months ended March 31, 2024 are not necessarily indicative of the operating results for the full year. It is suggested that these unaudited condensed consolidated financial statements be read in conjunction with the consolidated financial statements and notes thereto included in the Company’s annual report on Form 10-K for the year ended December 31, 2023, filed with the Securities and Exchange Commission (“SEC”) on March 25, 2024.</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4, 2023, the Company effected a reverse stock split of its common stock at a ratio of 1-for-35 (the “2023 Reverse Split”). Upon the effectiveness of the 2023 Reverse Split, every 35 issued shares of common stock were reclassified and combined into one share of common stock. In addition, the number of shares of common stock issuable upon the exercise of the Company’s equity awards, convertible securities and warrants was proportionally decreased, and the corresponding conversion price or exercise price was proportionally increased. No fractional shares were issued as a result of the 2023 Reverse Split.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25, 2024, the Company effected a reverse stock split of its common stock at a ratio of 1-for-10 (the “2024 Reverse Split”). Upon the effectiveness of the 2024 Reverse Split, every 10 issued shares of common stock were reclassified and combined into one share of common stock. In addition, the number of shares of common stock issuable upon the exercise of the Company’s equity awards, convertible securities and warrants was proportionally decreased, and the corresponding conversion price or exercise price was proportionally increased. No fractional shares were issued as a result of the 2024 Reverse Split.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Accordingly, all share and per share amounts for all periods presented in these financial statements and notes thereto have been adjusted retroactively, where applicable, to reflect the 2023 Reverse Split and the 2024 Reverse Split and adjustment of the conversion price or exercise price of each outstanding equity award, convertible security and warrant as if the transaction had occurred as of the beginning of the earliest period presented. See Note 8 – Subsequent Events – Reverse Stock Split.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Going Concern and Management’s Plans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going concern basis, which contemplates the realization of assets and the satisfaction of liabilities in the normal course of business. The condensed consolidated financial statements do not include any adjustments relating to the recoverability and classification of asset amounts or the classification of liabilities that might be necessary should the Company be unable to continue as a going concern.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the Company had cash of approximately $2.0 million and a working capital deficit of approximately $6.7 million. During the three months ended March 31, 2024, the Company incurred a net loss of approximately $2.8 million and used cash in operations of approximately $3.8 million. The Company has an accumulated deficit of approximately $106.0 million as of March 31,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not yet achieved profitability and expects to continue to incur cash outflows from operations. It is expected that its research and development and general and administrative expenses will continue to increase and, as a result, the Company will eventually need to generate significant product revenues to achieve profitability.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Consequently, the Company will be required to raise additional funds through equity or debt financing. Management believes that the Company has access to capital resources and continues to evaluate additional financing opportunities; however, and there can be no assurance that it will be successful in securing additional capital or that the Company will be able to obtain funds on commercially acceptable terms, if at all. There is also no assurance that the amount of funds the Company might raise will enable the Company to complete its development initiatives or attain profitable operations. The aforementioned conditions raise substantial doubt about the Company’s ability to continue as a going concern for at least one year from the issuance date of these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Since the date the Company’s December 31, 2023 financial statements were issued in its 2023 Annual Report on Form 10-K, there have been no material changes to the Company’s significant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Preparation of financial statements in conformity with U.S. GAAP requires management to make estimates, judgments and assumptions that affect the amounts reported in the financial statements and the amounts disclosed in the related notes to the financial statements. The Company bases its estimates and judgments on historical experience and on various other assumptions that it believes are reasonable under the circumstances. The amounts of assets and liabilities reported in the Company’s balance sheets and the amounts of expenses reported for each of the periods presented are affected by estimates and assumptions, which are used for, but not limited to, fair value calculations for equity securities, derivative liabilities, share based compensation and acquired intangible assets, as well as establishment of valuation allowances for deferred tax assets. Certain of the Company’s estimates could be affected by external conditions, including those unique to the Company and general economic conditions. It is reasonably possible that actual results could differ from those estimates.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by the weighted average number of vested common shares outstanding during the period. Diluted net income per common share is computed by dividing net income by the weighted average number of common and dilutive common-equivalent shares outstanding during each period.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outstanding potentially dilutive securities that have been excluded from the calculation of diluted net loss per share because to do so would be anti-dilutive: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310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5"/>
        </w:trPr>
        <w:tc>
          <w:tcPr>
            <w:tcW w:w="68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6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680" w:type="dxa"/>
            <w:vAlign w:val="bottom"/>
            <w:tcBorders>
              <w:bottom w:val="single" w:sz="8" w:color="CCEEFF"/>
            </w:tcBorders>
          </w:tcPr>
          <w:p>
            <w:pPr>
              <w:spacing w:after="0"/>
              <w:rPr>
                <w:sz w:val="20"/>
                <w:szCs w:val="20"/>
                <w:color w:val="auto"/>
              </w:rPr>
            </w:pPr>
          </w:p>
        </w:tc>
        <w:tc>
          <w:tcPr>
            <w:tcW w:w="556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r>
      <w:tr>
        <w:trPr>
          <w:trHeight w:val="148"/>
        </w:trPr>
        <w:tc>
          <w:tcPr>
            <w:tcW w:w="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Warrants</w:t>
            </w:r>
          </w:p>
        </w:tc>
        <w:tc>
          <w:tcPr>
            <w:tcW w:w="5560" w:type="dxa"/>
            <w:vAlign w:val="bottom"/>
            <w:shd w:val="clear" w:color="auto" w:fill="CCEEFF"/>
          </w:tcPr>
          <w:p>
            <w:pPr>
              <w:jc w:val="right"/>
              <w:ind w:right="5285"/>
              <w:spacing w:after="0" w:line="149" w:lineRule="exact"/>
              <w:rPr>
                <w:sz w:val="20"/>
                <w:szCs w:val="20"/>
                <w:color w:val="auto"/>
              </w:rPr>
            </w:pPr>
            <w:r>
              <w:rPr>
                <w:rFonts w:ascii="Times New Roman" w:cs="Times New Roman" w:eastAsia="Times New Roman" w:hAnsi="Times New Roman"/>
                <w:sz w:val="15"/>
                <w:szCs w:val="15"/>
                <w:color w:val="auto"/>
              </w:rPr>
              <w:t>[1]</w:t>
            </w:r>
          </w:p>
        </w:tc>
        <w:tc>
          <w:tcPr>
            <w:tcW w:w="10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7"/>
                <w:szCs w:val="17"/>
                <w:color w:val="auto"/>
              </w:rPr>
              <w:t>689,520</w:t>
            </w:r>
          </w:p>
        </w:tc>
        <w:tc>
          <w:tcPr>
            <w:tcW w:w="1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7"/>
                <w:szCs w:val="17"/>
                <w:color w:val="auto"/>
              </w:rPr>
              <w:t>24,653</w:t>
            </w:r>
          </w:p>
        </w:tc>
      </w:tr>
      <w:tr>
        <w:trPr>
          <w:trHeight w:val="95"/>
        </w:trPr>
        <w:tc>
          <w:tcPr>
            <w:tcW w:w="680" w:type="dxa"/>
            <w:vAlign w:val="bottom"/>
            <w:shd w:val="clear" w:color="auto" w:fill="CCEEFF"/>
          </w:tcPr>
          <w:p>
            <w:pPr>
              <w:spacing w:after="0"/>
              <w:rPr>
                <w:sz w:val="8"/>
                <w:szCs w:val="8"/>
                <w:color w:val="auto"/>
              </w:rPr>
            </w:pPr>
          </w:p>
        </w:tc>
        <w:tc>
          <w:tcPr>
            <w:tcW w:w="556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spacing w:after="0" w:line="95" w:lineRule="exact"/>
              <w:rPr>
                <w:sz w:val="20"/>
                <w:szCs w:val="20"/>
                <w:color w:val="auto"/>
              </w:rPr>
            </w:pPr>
            <w:r>
              <w:rPr>
                <w:rFonts w:ascii="Times New Roman" w:cs="Times New Roman" w:eastAsia="Times New Roman" w:hAnsi="Times New Roman"/>
                <w:sz w:val="10"/>
                <w:szCs w:val="10"/>
                <w:color w:val="auto"/>
              </w:rPr>
              <w:t>(2)</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Options</w:t>
            </w:r>
          </w:p>
        </w:tc>
        <w:tc>
          <w:tcPr>
            <w:tcW w:w="5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10,243</w:t>
            </w:r>
          </w:p>
        </w:tc>
        <w:tc>
          <w:tcPr>
            <w:tcW w:w="1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6,086</w:t>
            </w:r>
          </w:p>
        </w:tc>
      </w:tr>
      <w:tr>
        <w:trPr>
          <w:trHeight w:val="15"/>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
                <w:szCs w:val="1"/>
                <w:color w:val="auto"/>
              </w:rPr>
              <w:t>Series A Convertible Preferred Stock</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
                <w:szCs w:val="1"/>
                <w:color w:val="auto"/>
              </w:rPr>
              <w:t>72</w:t>
            </w:r>
          </w:p>
        </w:tc>
        <w:tc>
          <w:tcPr>
            <w:tcW w:w="1120" w:type="dxa"/>
            <w:vAlign w:val="bottom"/>
            <w:shd w:val="clear" w:color="auto" w:fill="CCEEFF"/>
          </w:tcPr>
          <w:p>
            <w:pPr>
              <w:spacing w:after="0" w:line="20" w:lineRule="exact"/>
              <w:rPr>
                <w:sz w:val="1"/>
                <w:szCs w:val="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
                <w:szCs w:val="1"/>
                <w:color w:val="auto"/>
              </w:rPr>
              <w:t>2,467</w:t>
            </w:r>
          </w:p>
        </w:tc>
      </w:tr>
      <w:tr>
        <w:trPr>
          <w:trHeight w:val="201"/>
        </w:trPr>
        <w:tc>
          <w:tcPr>
            <w:tcW w:w="680" w:type="dxa"/>
            <w:vAlign w:val="bottom"/>
            <w:shd w:val="clear" w:color="auto" w:fill="CCEEFF"/>
          </w:tcPr>
          <w:p>
            <w:pPr>
              <w:spacing w:after="0"/>
              <w:rPr>
                <w:sz w:val="17"/>
                <w:szCs w:val="17"/>
                <w:color w:val="auto"/>
              </w:rPr>
            </w:pPr>
          </w:p>
        </w:tc>
        <w:tc>
          <w:tcPr>
            <w:tcW w:w="5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23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Series B Convertible Preferred Stock</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2,067</w:t>
            </w:r>
          </w:p>
        </w:tc>
        <w:tc>
          <w:tcPr>
            <w:tcW w:w="1120" w:type="dxa"/>
            <w:vAlign w:val="bottom"/>
          </w:tcPr>
          <w:p>
            <w:pPr>
              <w:spacing w:after="0"/>
              <w:rPr>
                <w:sz w:val="20"/>
                <w:szCs w:val="20"/>
                <w:color w:val="auto"/>
              </w:rPr>
            </w:pPr>
          </w:p>
        </w:tc>
        <w:tc>
          <w:tcPr>
            <w:tcW w:w="76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16"/>
                <w:szCs w:val="16"/>
                <w:color w:val="auto"/>
              </w:rPr>
              <w:t>1,446</w:t>
            </w:r>
            <w:r>
              <w:rPr>
                <w:rFonts w:ascii="Times New Roman" w:cs="Times New Roman" w:eastAsia="Times New Roman" w:hAnsi="Times New Roman"/>
                <w:sz w:val="26"/>
                <w:szCs w:val="26"/>
                <w:color w:val="auto"/>
                <w:vertAlign w:val="superscript"/>
              </w:rPr>
              <w:t>(4)</w:t>
            </w:r>
          </w:p>
        </w:tc>
      </w:tr>
      <w:tr>
        <w:trPr>
          <w:trHeight w:val="230"/>
        </w:trPr>
        <w:tc>
          <w:tcPr>
            <w:tcW w:w="6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701,902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480" w:hanging="332"/>
        <w:spacing w:after="0" w:line="257"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InflamaCORE, LLC license agreement, warrants to purchase 341 shares of common stock are to be issued upon the satisfaction of certain milestones and, accordingly, are not included in the amount currently reported. See Note 6 - Commitments and Contingencies - License Agreements for details.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an additional 9,869 shares if the Successor Series A warrant exercise price resets to its floor price.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an additional 9,689 shares if the Successor Series A Convertible Preferred Stock conversion price resets to its floor price.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an additional 620 shares if the Successor Series B Convertible Preferred Stock conversion price resets to its floor price.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and operating segment. All assets and operations are in the U.S. The Company’s Chief Executive Officer, who is the chief operating decision maker, reviews financial information on an aggregate basis for purposes of allocating resources and evaluating financial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prior period balances have been reclassified from security deposits to vendor deposits on the condensed consolidated balance sheet in order to conform to the current year presentation. These reclassifications had no effect on previously reported results of operations or loss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These amendments require a public entity to disclose significant segment expenses and other segment items on an annual and interim basis and to provide in interim periods all disclosures about a reportable segment’s profit or loss and assets that are currently required annually. Public entities with a single reporting segment are required to provide both the new disclosures and all of the existing disclosures required under ASC 280. The guidance is effective for fiscal years beginning after December 15, 2023, and interim periods within fiscal years beginning after December 15, 2024, with early adoption permitted. Since this new ASU addresses only disclosures, the Company does not expect the adoption of this ASU to have any material effects on its financial condition, results of operations or cash flows. The Company is currently evaluating any new disclosures that may be required upon adoption of ASU 2023-07.</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amendments in this update address investor requests for more transparency about income tax information through improvements to income tax disclosures primarily related to the rate reconciliation and income taxes paid information. This update also includes certain other amendments to improve the effectiveness of income tax disclosures. The amendments in ASU 2023-09 are effective for the Company for annual periods beginning after December 15, 2024, with early adoption permitted. Since this new ASU addresses only disclosures, the Company does not expect the adoption to have any material effects on its financial condition, results of operation or cash flows. The Company is currently evaluating any new disclosures that may be required upon adoption of ASU 2023-09.</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March 31, 2024 and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6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6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L&amp;F milestone payment liability</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500,000</w:t>
            </w:r>
          </w:p>
        </w:tc>
        <w:tc>
          <w:tcPr>
            <w:tcW w:w="6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Payroll accrual</w:t>
            </w:r>
          </w:p>
        </w:tc>
        <w:tc>
          <w:tcPr>
            <w:tcW w:w="28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668,803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668,803</w:t>
            </w:r>
          </w:p>
        </w:tc>
        <w:tc>
          <w:tcPr>
            <w:tcW w:w="6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51,969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41,969</w:t>
            </w:r>
          </w:p>
        </w:tc>
        <w:tc>
          <w:tcPr>
            <w:tcW w:w="6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Bonus accrual</w:t>
            </w:r>
          </w:p>
        </w:tc>
        <w:tc>
          <w:tcPr>
            <w:tcW w:w="28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726,937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536,500</w:t>
            </w:r>
          </w:p>
        </w:tc>
        <w:tc>
          <w:tcPr>
            <w:tcW w:w="60" w:type="dxa"/>
            <w:vAlign w:val="bottom"/>
          </w:tcPr>
          <w:p>
            <w:pPr>
              <w:spacing w:after="0"/>
              <w:rPr>
                <w:sz w:val="18"/>
                <w:szCs w:val="18"/>
                <w:color w:val="auto"/>
              </w:rPr>
            </w:pPr>
          </w:p>
        </w:tc>
      </w:tr>
      <w:tr>
        <w:trPr>
          <w:trHeight w:val="290"/>
        </w:trPr>
        <w:tc>
          <w:tcPr>
            <w:tcW w:w="62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Registration delay liability </w:t>
            </w:r>
            <w:r>
              <w:rPr>
                <w:rFonts w:ascii="Times New Roman" w:cs="Times New Roman" w:eastAsia="Times New Roman" w:hAnsi="Times New Roman"/>
                <w:sz w:val="29"/>
                <w:szCs w:val="29"/>
                <w:color w:val="auto"/>
                <w:vertAlign w:val="superscript"/>
              </w:rPr>
              <w:t>[1]</w:t>
            </w:r>
          </w:p>
        </w:tc>
        <w:tc>
          <w:tcPr>
            <w:tcW w:w="280" w:type="dxa"/>
            <w:vAlign w:val="bottom"/>
            <w:shd w:val="clear" w:color="auto" w:fill="CCEEFF"/>
          </w:tcPr>
          <w:p>
            <w:pPr>
              <w:spacing w:after="0"/>
              <w:rPr>
                <w:sz w:val="24"/>
                <w:szCs w:val="24"/>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7,261</w:t>
            </w: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7,261</w:t>
            </w:r>
          </w:p>
        </w:tc>
        <w:tc>
          <w:tcPr>
            <w:tcW w:w="60" w:type="dxa"/>
            <w:vAlign w:val="bottom"/>
            <w:shd w:val="clear" w:color="auto" w:fill="CCEEFF"/>
          </w:tcPr>
          <w:p>
            <w:pPr>
              <w:spacing w:after="0"/>
              <w:rPr>
                <w:sz w:val="24"/>
                <w:szCs w:val="24"/>
                <w:color w:val="auto"/>
              </w:rPr>
            </w:pPr>
          </w:p>
        </w:tc>
      </w:tr>
      <w:tr>
        <w:trPr>
          <w:trHeight w:val="216"/>
        </w:trPr>
        <w:tc>
          <w:tcPr>
            <w:tcW w:w="62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1,454,970</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1,754,533</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7" w:lineRule="exact"/>
        <w:rPr>
          <w:sz w:val="20"/>
          <w:szCs w:val="20"/>
          <w:color w:val="auto"/>
        </w:rPr>
      </w:pPr>
    </w:p>
    <w:p>
      <w:pPr>
        <w:ind w:left="1440" w:hanging="257"/>
        <w:spacing w:after="0"/>
        <w:tabs>
          <w:tab w:leader="none" w:pos="144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See Note 7 – Stockholders’ Permanent and Temporary Equity for details of the registration delay liability.</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 Income Taxes</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and the effective tax rate were as follows:</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3"/>
        </w:trPr>
        <w:tc>
          <w:tcPr>
            <w:tcW w:w="6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520" w:type="dxa"/>
            <w:vAlign w:val="bottom"/>
            <w:gridSpan w:val="5"/>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45"/>
        </w:trPr>
        <w:tc>
          <w:tcPr>
            <w:tcW w:w="6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r>
      <w:tr>
        <w:trPr>
          <w:trHeight w:val="216"/>
        </w:trPr>
        <w:tc>
          <w:tcPr>
            <w:tcW w:w="6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1,047,051</w:t>
            </w:r>
          </w:p>
        </w:tc>
      </w:tr>
      <w:tr>
        <w:trPr>
          <w:trHeight w:val="234"/>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38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0.00%</w:t>
            </w:r>
          </w:p>
        </w:tc>
        <w:tc>
          <w:tcPr>
            <w:tcW w:w="44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22.81%</w:t>
            </w:r>
          </w:p>
        </w:tc>
      </w:tr>
    </w:tbl>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tax provisions for the three months ended March 31, 2024 and 2023 were computed using the estimated effective tax rates applicable to the taxable jurisdictions for the full year. The Company’s tax rate is subject to management’s quarterly review and revision, as necessary. The Company’s effective tax rate was 0.00% and 22.81% for the three months ended March 31, 2024 and 2023. The decrease in the quarterly rates is primarily the result of the Company recording a full valuation allowance during the three months ended March 31, 2024 due to the reversal of a significant deferred tax liability that existed as of March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Litigations, Claims and Assessments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be involved in legal proceedings, claims and assessments arising in the ordinary course of business. The Company records contingent liabilities resulting from such claims, if any, when a loss is assessed to be probable and the amount of the loss is reasonably estimable.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L&amp;F Research LLC</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 License Agreement with L&amp;F Research LLC (“L&amp;F Research”) effective December 15, 2015, as amended (the “L&amp;F License Agreement”) pursuant to which L&amp;F granted the Company an exclusive royalty-bearing, worldwide, sublicensable license under the patent and intellectual property rights and know-how specific to and for the development and commercialization of VAR 200, for the treatment, inhibition or prevention of kidney disease in humans and symptoms thereof, including focal segmental glomerulosclerosis.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28, 2023, the Company and L&amp;F executed an Amendment and Restatement Agreement that waived L&amp;F’s right to terminate the L&amp;F License Agreement or any other remedies, for non-payment of the First Milestone Payment, until (a) March 31, 2023 as to $1,000,000 of such milestone payments (“Waiver A”) and (b) January 31, 2024 as to $500,000 milestone payments (“Waiver B”). Waiver A was contingent upon (i) forgiveness by the Company of $351,579 in aggregate principal amount outstanding under a certain convertible note, and (ii) a cash payment by the Company to L&amp;F in the amount of $648,421, on or before March 31, 2023. Waiver B was contingent upon a cash payment by the Company to L&amp;F in the amount of $500,000 on or before the earlier of (x) January 31, 2024, and (y) ten business days from the date that the Company received net proceeds of at least $30,000,000 from the issuance of new equity capital. All other terms of the L&amp;F License remain in effect.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29, 2023, the Company paid the $648,421 of cash to L&amp;F, thus meeting the conditions of Waiver A, which also had the effect of canceling the Note Receivable and the Put Option and resulted in a reclassification of 188 shares of common stock and $331,331 classified as temporary equity to permanent equity.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30, 2024, the Company paid $500,000 of cash to L&amp;F, thus meeting the conditions of Waiver B.</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18, 2019, the Predecessor entered into a lease agreement for approximately 3,500 square feet of office space in Weston, Florida for a term of five years. Under the lease agreement, the annual base rent, which excludes the Predecessor’s share of taxes and operating costs, was approximately $89,000 for the first year and increases approximately 3% every year thereafter for a total base rent lease commitment of approximately $497,000. On January 15, 2024, the Company extended the lease for an additional year for a total base rent lease commitment of $112,064. The Company used the short-term lease practical expedient which permits the Company to not capitalize leases with a term equal to or less than 12 months.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right-of-use asset amortization of $7,839 in connection with its operating lease for the three months ending March 31, 2024 and the Company recognized rent expense of $22,047 in connection with its operating lease for the three months ending March 31,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Company’s right-of-use assets and liabilities is as follows:</w:t>
            </w:r>
          </w:p>
        </w:tc>
        <w:tc>
          <w:tcPr>
            <w:tcW w:w="1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3"/>
        </w:trPr>
        <w:tc>
          <w:tcPr>
            <w:tcW w:w="6940" w:type="dxa"/>
            <w:vAlign w:val="bottom"/>
          </w:tcPr>
          <w:p>
            <w:pPr>
              <w:spacing w:after="0"/>
              <w:rPr>
                <w:sz w:val="24"/>
                <w:szCs w:val="24"/>
                <w:color w:val="auto"/>
              </w:rPr>
            </w:pPr>
          </w:p>
        </w:tc>
        <w:tc>
          <w:tcPr>
            <w:tcW w:w="338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6940" w:type="dxa"/>
            <w:vAlign w:val="bottom"/>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4"/>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694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694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used in operating activities</w:t>
            </w:r>
          </w:p>
        </w:tc>
        <w:tc>
          <w:tcPr>
            <w:tcW w:w="132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8,656</w:t>
            </w:r>
          </w:p>
        </w:tc>
        <w:tc>
          <w:tcPr>
            <w:tcW w:w="130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24,249</w:t>
            </w:r>
          </w:p>
        </w:tc>
      </w:tr>
      <w:tr>
        <w:trPr>
          <w:trHeight w:val="216"/>
        </w:trPr>
        <w:tc>
          <w:tcPr>
            <w:tcW w:w="6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1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32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3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4"/>
              </w:rPr>
              <w:t>0.84 Years</w:t>
            </w:r>
          </w:p>
        </w:tc>
      </w:tr>
      <w:tr>
        <w:trPr>
          <w:trHeight w:val="216"/>
        </w:trPr>
        <w:tc>
          <w:tcPr>
            <w:tcW w:w="6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Stockholders’ Permanent and Temporary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the Company entered into a marketing agreement with a vendor in which the Company issued an aggregate of 9,000 shares of common stock and cash in exchange for marketing services. The $79,200 fair value of the common stock was established as a prepaid expense and the Company will recognize the expense over the terms of the contracts.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Temporary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6 – Commitments and Contingencies for discussion of the movement of temporary equity to permanent equity on March 29,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2024 the Company recorded stock-based compensation expense of $223,573 (of which, $15,447 was included in research and development and $208,126 was included in general and administrative expense) related to options issued to employees and consultants. For the three months ended March 31, 2023 the Company recorded stock-based compensation expense of $287,461 (of which, $49,455 was included in research and development and $238,006 was included in general and administrative expense) related to options issued to employees and consultants. As of March 31, 2024 there was $803,890 of unrecognized stock-based compensation expense, which the Company expects to recognize over a weighted average period of 1.6 years.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grant date fair value of stock options granted during the three months ended March 31, 2024 and 2023 was determined using the Black Scholes method, with the following assumptions used: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80" w:type="dxa"/>
            <w:vAlign w:val="bottom"/>
            <w:gridSpan w:val="7"/>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86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5"/>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0"/>
                <w:szCs w:val="20"/>
                <w:color w:val="auto"/>
              </w:rPr>
            </w:pPr>
          </w:p>
        </w:tc>
        <w:tc>
          <w:tcPr>
            <w:tcW w:w="1840" w:type="dxa"/>
            <w:vAlign w:val="bottom"/>
            <w:gridSpan w:val="5"/>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 on date of grant</w:t>
            </w:r>
          </w:p>
        </w:tc>
        <w:tc>
          <w:tcPr>
            <w:tcW w:w="1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6"/>
              </w:rPr>
              <w:t>N/A</w:t>
            </w:r>
          </w:p>
        </w:tc>
        <w:tc>
          <w:tcPr>
            <w:tcW w:w="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gridSpan w:val="4"/>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$2.11 - $2.23</w:t>
            </w: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6"/>
              </w:rPr>
              <w:t>N/A</w:t>
            </w:r>
          </w:p>
        </w:tc>
        <w:tc>
          <w:tcPr>
            <w:tcW w:w="2120" w:type="dxa"/>
            <w:vAlign w:val="bottom"/>
            <w:gridSpan w:val="7"/>
          </w:tcPr>
          <w:p>
            <w:pPr>
              <w:jc w:val="center"/>
              <w:ind w:left="870"/>
              <w:spacing w:after="0"/>
              <w:rPr>
                <w:sz w:val="20"/>
                <w:szCs w:val="20"/>
                <w:color w:val="auto"/>
              </w:rPr>
            </w:pPr>
            <w:r>
              <w:rPr>
                <w:rFonts w:ascii="Times New Roman" w:cs="Times New Roman" w:eastAsia="Times New Roman" w:hAnsi="Times New Roman"/>
                <w:sz w:val="18"/>
                <w:szCs w:val="18"/>
                <w:color w:val="auto"/>
                <w:w w:val="99"/>
              </w:rPr>
              <w:t>3.53% - 4.27%</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6"/>
              </w:rPr>
              <w:t>N/A</w:t>
            </w:r>
          </w:p>
        </w:tc>
        <w:tc>
          <w:tcPr>
            <w:tcW w:w="1840" w:type="dxa"/>
            <w:vAlign w:val="bottom"/>
            <w:gridSpan w:val="5"/>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6"/>
              </w:rPr>
              <w:t>N/A</w:t>
            </w:r>
          </w:p>
        </w:tc>
        <w:tc>
          <w:tcPr>
            <w:tcW w:w="2120" w:type="dxa"/>
            <w:vAlign w:val="bottom"/>
            <w:gridSpan w:val="7"/>
          </w:tcPr>
          <w:p>
            <w:pPr>
              <w:jc w:val="center"/>
              <w:ind w:left="870"/>
              <w:spacing w:after="0"/>
              <w:rPr>
                <w:sz w:val="20"/>
                <w:szCs w:val="20"/>
                <w:color w:val="auto"/>
              </w:rPr>
            </w:pPr>
            <w:r>
              <w:rPr>
                <w:rFonts w:ascii="Times New Roman" w:cs="Times New Roman" w:eastAsia="Times New Roman" w:hAnsi="Times New Roman"/>
                <w:sz w:val="18"/>
                <w:szCs w:val="18"/>
                <w:color w:val="auto"/>
              </w:rPr>
              <w:t>120% - 122%</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6"/>
              </w:rPr>
              <w:t>N/A</w:t>
            </w:r>
          </w:p>
        </w:tc>
        <w:tc>
          <w:tcPr>
            <w:tcW w:w="1840" w:type="dxa"/>
            <w:vAlign w:val="bottom"/>
            <w:gridSpan w:val="5"/>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w w:val="98"/>
              </w:rPr>
              <w:t>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2"/>
        </w:trPr>
        <w:tc>
          <w:tcPr>
            <w:tcW w:w="79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 summary of the option activity for the three months ended March 31, 2024 is presented below:</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29"/>
        </w:trPr>
        <w:tc>
          <w:tcPr>
            <w:tcW w:w="8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Life</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86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8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2024</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10,243</w:t>
            </w:r>
          </w:p>
        </w:tc>
        <w:tc>
          <w:tcPr>
            <w:tcW w:w="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2,218.51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4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March 31, 2024</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10,243</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2,218.51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40" w:type="dxa"/>
            <w:vAlign w:val="bottom"/>
            <w:gridSpan w:val="2"/>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March 31, 2024</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6,150</w:t>
            </w:r>
          </w:p>
        </w:tc>
        <w:tc>
          <w:tcPr>
            <w:tcW w:w="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3,438.48</w:t>
            </w:r>
          </w:p>
        </w:tc>
        <w:tc>
          <w:tcPr>
            <w:tcW w:w="1840" w:type="dxa"/>
            <w:vAlign w:val="bottom"/>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6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related to stock options as of March 31,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960" w:type="dxa"/>
            <w:vAlign w:val="bottom"/>
            <w:gridSpan w:val="3"/>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340" w:type="dxa"/>
            <w:vAlign w:val="bottom"/>
            <w:gridSpan w:val="4"/>
          </w:tcPr>
          <w:p>
            <w:pPr>
              <w:ind w:left="1340"/>
              <w:spacing w:after="0"/>
              <w:rPr>
                <w:sz w:val="20"/>
                <w:szCs w:val="20"/>
                <w:color w:val="auto"/>
              </w:rPr>
            </w:pPr>
            <w:r>
              <w:rPr>
                <w:rFonts w:ascii="Times New Roman" w:cs="Times New Roman" w:eastAsia="Times New Roman" w:hAnsi="Times New Roman"/>
                <w:sz w:val="18"/>
                <w:szCs w:val="18"/>
                <w:b w:val="1"/>
                <w:bCs w:val="1"/>
                <w:color w:val="auto"/>
              </w:rPr>
              <w:t>Options Exercisable</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30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9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8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Remaining Life</w:t>
            </w: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20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152.50</w:t>
            </w:r>
          </w:p>
        </w:tc>
        <w:tc>
          <w:tcPr>
            <w:tcW w:w="28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738.50</w:t>
            </w:r>
          </w:p>
        </w:tc>
        <w:tc>
          <w:tcPr>
            <w:tcW w:w="28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791.00</w:t>
            </w:r>
          </w:p>
        </w:tc>
        <w:tc>
          <w:tcPr>
            <w:tcW w:w="28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1,760.50</w:t>
            </w:r>
          </w:p>
        </w:tc>
        <w:tc>
          <w:tcPr>
            <w:tcW w:w="28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3,965.50</w:t>
            </w:r>
          </w:p>
        </w:tc>
        <w:tc>
          <w:tcPr>
            <w:tcW w:w="28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4,053.00</w:t>
            </w:r>
          </w:p>
        </w:tc>
        <w:tc>
          <w:tcPr>
            <w:tcW w:w="28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5,726.00</w:t>
            </w:r>
          </w:p>
        </w:tc>
        <w:tc>
          <w:tcPr>
            <w:tcW w:w="2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2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10,243</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vMerge w:val="continue"/>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Warrants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Between February 26, 2024 and March 6, 2024, investors in the December 2023 Offering exercised warrants to purchase 213,800 shares of common stock at an exercise price of $12.50 per share for total proceeds of $2,672,500.</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Between January 17 and February 23, 2024, a December 2023 Offering investor exercised pre-funded warrants to purchase 131,500 shares of common stock on a cashless basis to purchase 131,481 shares of common stock at an exercise price of $0.001 per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warrant activity for the three months ended March 31, 2024,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30"/>
        </w:trPr>
        <w:tc>
          <w:tcPr>
            <w:tcW w:w="4740" w:type="dxa"/>
            <w:vAlign w:val="bottom"/>
          </w:tcPr>
          <w:p>
            <w:pPr>
              <w:spacing w:after="0"/>
              <w:rPr>
                <w:sz w:val="19"/>
                <w:szCs w:val="19"/>
                <w:color w:val="auto"/>
              </w:rPr>
            </w:pP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Life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4740" w:type="dxa"/>
            <w:vAlign w:val="bottom"/>
          </w:tcPr>
          <w:p>
            <w:pPr>
              <w:spacing w:after="0"/>
              <w:rPr>
                <w:sz w:val="21"/>
                <w:szCs w:val="21"/>
                <w:color w:val="auto"/>
              </w:rPr>
            </w:pPr>
          </w:p>
        </w:tc>
        <w:tc>
          <w:tcPr>
            <w:tcW w:w="15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47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6"/>
        </w:trPr>
        <w:tc>
          <w:tcPr>
            <w:tcW w:w="47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Outstanding, January 1, 2024 </w:t>
            </w:r>
            <w:r>
              <w:rPr>
                <w:rFonts w:ascii="Times New Roman" w:cs="Times New Roman" w:eastAsia="Times New Roman" w:hAnsi="Times New Roman"/>
                <w:sz w:val="29"/>
                <w:szCs w:val="29"/>
                <w:color w:val="auto"/>
                <w:vertAlign w:val="superscript"/>
              </w:rPr>
              <w:t>[1]</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903,320</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123.44</w:t>
            </w:r>
          </w:p>
        </w:tc>
        <w:tc>
          <w:tcPr>
            <w:tcW w:w="13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90"/>
        </w:trPr>
        <w:tc>
          <w:tcPr>
            <w:tcW w:w="474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Exercised </w:t>
            </w:r>
            <w:r>
              <w:rPr>
                <w:rFonts w:ascii="Times New Roman" w:cs="Times New Roman" w:eastAsia="Times New Roman" w:hAnsi="Times New Roman"/>
                <w:sz w:val="29"/>
                <w:szCs w:val="29"/>
                <w:color w:val="auto"/>
                <w:vertAlign w:val="superscript"/>
              </w:rPr>
              <w:t>[2]</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(213,800)</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12.50</w:t>
            </w:r>
          </w:p>
        </w:tc>
        <w:tc>
          <w:tcPr>
            <w:tcW w:w="13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56"/>
        </w:trPr>
        <w:tc>
          <w:tcPr>
            <w:tcW w:w="474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March 31, 2024</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689,520</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157.92</w:t>
            </w:r>
          </w:p>
        </w:tc>
        <w:tc>
          <w:tcPr>
            <w:tcW w:w="320" w:type="dxa"/>
            <w:vAlign w:val="bottom"/>
            <w:tcBorders>
              <w:top w:val="single" w:sz="8" w:color="CCEEFF"/>
              <w:bottom w:val="single" w:sz="8" w:color="CCEEFF"/>
            </w:tcBorders>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47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Exercisable, March 31, 2024</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689,320</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157.46</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3.67</w:t>
            </w: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720" w:hanging="301"/>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outstanding exclude 131,500 December 2023 Pre-Funded Warrants outstanding with an exercise price of $0.001.</w:t>
      </w:r>
    </w:p>
    <w:p>
      <w:pPr>
        <w:spacing w:after="0" w:line="117" w:lineRule="exact"/>
        <w:rPr>
          <w:rFonts w:ascii="Times New Roman" w:cs="Times New Roman" w:eastAsia="Times New Roman" w:hAnsi="Times New Roman"/>
          <w:sz w:val="18"/>
          <w:szCs w:val="18"/>
          <w:color w:val="auto"/>
        </w:rPr>
      </w:pPr>
    </w:p>
    <w:p>
      <w:pPr>
        <w:ind w:left="720" w:hanging="301"/>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exercised exclude 131,500 December 2023 Pre-Funded Warrants exercised with an exercise price of $0.001.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related to stock warrants as of March 31,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960" w:type="dxa"/>
            <w:vAlign w:val="bottom"/>
            <w:gridSpan w:val="4"/>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Warrants Outstanding</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60" w:type="dxa"/>
            <w:vAlign w:val="bottom"/>
            <w:gridSpan w:val="5"/>
          </w:tcPr>
          <w:p>
            <w:pPr>
              <w:ind w:left="1200"/>
              <w:spacing w:after="0"/>
              <w:rPr>
                <w:sz w:val="20"/>
                <w:szCs w:val="20"/>
                <w:color w:val="auto"/>
              </w:rPr>
            </w:pPr>
            <w:r>
              <w:rPr>
                <w:rFonts w:ascii="Times New Roman" w:cs="Times New Roman" w:eastAsia="Times New Roman" w:hAnsi="Times New Roman"/>
                <w:sz w:val="18"/>
                <w:szCs w:val="18"/>
                <w:b w:val="1"/>
                <w:bCs w:val="1"/>
                <w:color w:val="auto"/>
              </w:rPr>
              <w:t>Warrants Exercisable</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20" w:type="dxa"/>
            <w:vAlign w:val="bottom"/>
            <w:tcBorders>
              <w:top w:val="single" w:sz="8" w:color="auto"/>
            </w:tcBorders>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8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Exercisable</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8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Remaining Life</w:t>
            </w:r>
          </w:p>
        </w:tc>
        <w:tc>
          <w:tcPr>
            <w:tcW w:w="80" w:type="dxa"/>
            <w:vAlign w:val="bottom"/>
          </w:tcPr>
          <w:p>
            <w:pPr>
              <w:spacing w:after="0"/>
              <w:rPr>
                <w:sz w:val="19"/>
                <w:szCs w:val="19"/>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1"/>
                <w:szCs w:val="21"/>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80" w:type="dxa"/>
            <w:vAlign w:val="bottom"/>
          </w:tcPr>
          <w:p>
            <w:pPr>
              <w:spacing w:after="0"/>
              <w:rPr>
                <w:sz w:val="21"/>
                <w:szCs w:val="21"/>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586,200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586,200</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280" w:type="dxa"/>
            <w:vAlign w:val="bottom"/>
          </w:tcPr>
          <w:p>
            <w:pPr>
              <w:spacing w:after="0"/>
              <w:rPr>
                <w:sz w:val="18"/>
                <w:szCs w:val="18"/>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20,347</w:t>
            </w: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6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20,347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2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19,965</w:t>
            </w:r>
          </w:p>
        </w:tc>
        <w:tc>
          <w:tcPr>
            <w:tcW w:w="23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19,965</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80" w:type="dxa"/>
            <w:vAlign w:val="bottom"/>
          </w:tcPr>
          <w:p>
            <w:pPr>
              <w:spacing w:after="0"/>
              <w:rPr>
                <w:sz w:val="18"/>
                <w:szCs w:val="18"/>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27,551</w:t>
            </w: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6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27,551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2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13,944</w:t>
            </w:r>
          </w:p>
        </w:tc>
        <w:tc>
          <w:tcPr>
            <w:tcW w:w="23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13,944</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1,760.50</w:t>
            </w:r>
          </w:p>
        </w:tc>
        <w:tc>
          <w:tcPr>
            <w:tcW w:w="280" w:type="dxa"/>
            <w:vAlign w:val="bottom"/>
          </w:tcPr>
          <w:p>
            <w:pPr>
              <w:spacing w:after="0"/>
              <w:rPr>
                <w:sz w:val="18"/>
                <w:szCs w:val="18"/>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6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2,415.00</w:t>
            </w:r>
          </w:p>
        </w:tc>
        <w:tc>
          <w:tcPr>
            <w:tcW w:w="2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23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4,025.00</w:t>
            </w:r>
          </w:p>
        </w:tc>
        <w:tc>
          <w:tcPr>
            <w:tcW w:w="280" w:type="dxa"/>
            <w:vAlign w:val="bottom"/>
          </w:tcPr>
          <w:p>
            <w:pPr>
              <w:spacing w:after="0"/>
              <w:rPr>
                <w:sz w:val="18"/>
                <w:szCs w:val="18"/>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17,335</w:t>
            </w: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6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17,335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4,053.00</w:t>
            </w:r>
          </w:p>
        </w:tc>
        <w:tc>
          <w:tcPr>
            <w:tcW w:w="280" w:type="dxa"/>
            <w:vAlign w:val="bottom"/>
            <w:shd w:val="clear" w:color="auto" w:fill="CCEEFF"/>
          </w:tcPr>
          <w:p>
            <w:pPr>
              <w:spacing w:after="0"/>
              <w:rPr>
                <w:sz w:val="21"/>
                <w:szCs w:val="21"/>
                <w:color w:val="auto"/>
              </w:rPr>
            </w:pP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3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6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shd w:val="clear" w:color="auto" w:fill="CCEEFF"/>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689,520</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60" w:type="dxa"/>
            <w:vAlign w:val="bottom"/>
            <w:tcBorders>
              <w:top w:val="single" w:sz="8" w:color="CCEEFF"/>
            </w:tcBorders>
          </w:tcPr>
          <w:p>
            <w:pPr>
              <w:spacing w:after="0"/>
              <w:rPr>
                <w:sz w:val="18"/>
                <w:szCs w:val="18"/>
                <w:color w:val="auto"/>
              </w:rPr>
            </w:pPr>
          </w:p>
        </w:tc>
        <w:tc>
          <w:tcPr>
            <w:tcW w:w="1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689,320</w:t>
            </w:r>
          </w:p>
        </w:tc>
        <w:tc>
          <w:tcPr>
            <w:tcW w:w="80" w:type="dxa"/>
            <w:vAlign w:val="bottom"/>
            <w:tcBorders>
              <w:top w:val="single" w:sz="8" w:color="CCEEFF"/>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Effectiveness Failure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the Company conducted the Successor Series A Preferred Stock Financing. On or about February 20, 2023, the Company failed to have the SEC declare a registration statement effective (the “Effectiveness Failure”) which covered the Successor Series A Preferred Stock registrable securities within the time period prescribed by the Securities Purchase Agreement (the “SPA”). The SPA entitles the investors to receive registration delay payments (“Registration Delay Payments”) equal to 1.5% of each investor’s purchase price on the date of the Effectiveness Failure and every thirty days thereafter that the Effectiveness Failure persists. Failure to make the Registration Delay Payments on a timely basis result in the accrual of interest at the rate of 2.0% per month. On April 28, 2023, the proceeds from the April 2023 Offering were used to make most of the Registration Delay Payments and redeem substantially all of the Successor Series A Preferred Stock (see Successor Series A Preferred Stock Financing above). As of March 31, 2024, the Company has accrued additional Registration Delay Payments of approximately $7,261 in the aggregate.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Reverse Stock Split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25, 2024, the Company effected a reverse stock split of its common stock at a ratio of 1-for-10 (the “2024 Reverse Split”). Upon the effectiveness of the 2024 Reverse Split, every 10 issued shares of common stock were reclassified and combined into one share of common stock. In addition, the number of shares of common stock issuable upon the exercise of the Company’s equity awards, convertible securities and warrants was proportionally decreased, and the corresponding conversion price or exercise price was proportionally increased. No fractional shares were issued as a result of the 2024 Reverse Split. See Note 1 – Business Organization, Nature of Operations and Basis of Presentation for additional details.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results of operations and financial condition of ZyVersa Therapeutics, Inc. (the “Company,” “we,” “us” or “our”) as of March 31, 2024 and for the three months ended March 31, 2024 and 2023 should be read in conjunction with our unaudited condensed consolidated financial statements and the notes to those financial statements that are included elsewhere in this Quarterly Report on Form 10-Q. This discussion and analysis should be read in conjunction with the Company’s audited financial statements and related disclosures as of December 31, 2023 and for the year then ended, which are included in the Form 10-K (the “Annual Report”) filed with the Securities and Exchange Commission (“SEC”) on March 25, 2024. This Management’s Discussion and Analysis of Financial Condition and Results of Operations contains statements that are forward-looking. These statements are based on current expectations and assumptions that are subject to risk, uncertainties and other factors. These statements are often identified by the use of words such as “may,” “will,” “expect,” “believe,” “anticipate,” “intend,” “could,” “estimate,” or “continue,” and similar expressions or variations. Actual results could differ materially because of the factors discussed in “Risk Factors” in our Annual Report, and other factors that we may not know. Except as otherwise required by applicable law, we disclaim any duty to update any forward-looking statements, all of which are expressly qualified by the statements above, to reflect events or circumstances after the date of this Quarterly Report on Form 10-Q.</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clinical stage specialty biopharmaceutical company leveraging advanced proprietary technologies to develop first-in-class drugs for patients with renal or inflammatory diseases with high unmet medical needs.</w:t>
      </w:r>
    </w:p>
    <w:p>
      <w:pPr>
        <w:spacing w:after="0" w:line="16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Our lead renal drug candidate, which we refer to as Cholesterol Efflux Mediator</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VAR 200 (2-hydroxypropyl-beta-cyclodextrin or “2HβCD”), is in development to treat multiple renal indications. Our lead anti-inflammatory drug candidate, which we refer to as Inflammasome ASC Inhibitor IC 100, is a humanized monoclonal UgG4 antibody targeting ASC in development to treat multiple inflammatory diseases.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to date and have incurred significant operating losses. Our net losses were $2,826,737 for the period from January 1, 2024 through March 31, 2024, compared to $3,543,950 for the period from January 1, 2023 through March 31, 2023. As of March 31, 2024, we had an accumulated deficit of approximately $106.0 million and cash of $2.0 million. We expect to continue to incur significant expenses for the foreseeable future and to incur operating losses. We expect our expenses will increase in connection with our ongoing activities as we:</w:t>
      </w:r>
    </w:p>
    <w:p>
      <w:pPr>
        <w:spacing w:after="0" w:line="180"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development of VAR 200 and IC 100;</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regulatory submissions;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 to manufacture our product candidates for clinical trials;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research and development, finance, and general and administrative personnel;</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and defend our intellectual property;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the requirements of being a public company.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need additional financing to support our continuing operations. We will seek to fund our operations through public or private equity or debt financings or other sources, which may include government grants and collaborations with third parties.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revenues to achieve profitability, and we may never do so.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inception, we have not generated any revenue and do not expect to generate any revenue from the sale of products in the near future. If our development efforts for our product candidates are successful and result in regulatory approval, or if we enter into collaboration or license agreements with third parties, we may generate revenue in the future from a combination of product sales or payments from collaboration or license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Research and development expenses consist of costs incurred in the discovery and development of our product candidates, and primarily include:</w:t>
      </w:r>
    </w:p>
    <w:p>
      <w:pPr>
        <w:spacing w:after="0" w:line="225" w:lineRule="exact"/>
        <w:rPr>
          <w:sz w:val="20"/>
          <w:szCs w:val="20"/>
          <w:color w:val="auto"/>
        </w:rPr>
      </w:pPr>
    </w:p>
    <w:p>
      <w:pPr>
        <w:ind w:left="130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third party agreements with contract research organizations (“CROs”), and investigative sites, that conducted or will conduct our clinical trials and a portion of our pre-clinical activities;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raw materials, as well as manufacturing cost of our materials used in clinical trials and other development testing;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salaries, stock-based compensation and benefits of employees engaged in research and development activities;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equipment, depreciation and other allocated expenses;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for contracted regulatory services as well as fees paid to regulatory authorities including the US Food and Drug Administration (the “FDA”) for review and approval of our product candidates.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expenses or accrued expenses.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expect that our research and development expenses will continue to increase for the foreseeable future as we continue clinical development for our product candidates. As products enter later stages of clinical development, they will generally have higher development costs than those in earlier stages of clinical development, primarily due to the increased size and duration of later-stage clinical trials. Historically, our research and development costs have primarily related to the development of VAR 200 and IC 100. As we advance VAR 200 and IC 100, as well as identify any other potential product candidates, we will continue to allocate our direct external research and development costs to the products. We expect to fund our research and development expenses from our current cash and cash equivalents and any future equity or debt financings, or other capital sources, including potential collaborations with other companies or other strategic transactions.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 w:name="page19"/>
    <w:bookmarkEnd w:id="1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At this time, we cannot reasonably estimate or know the nature, timing and costs of the efforts that will be necessary to complete the remainder of the development of, or when, if ever, material net cash inflows may commence from our product candidates. This uncertainty is due to the numerous risks and uncertainties associated with the duration and cost of clinical trials, which vary significantly over the life of a project as a result of many factors, including:</w:t>
      </w:r>
    </w:p>
    <w:p>
      <w:pPr>
        <w:spacing w:after="0" w:line="180"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sites included in the clinical trials;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suitable patients;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patient populations participating in the clinical trials;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a patient receives;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state of the product candidates;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expenditures are subject to additional uncertainties, including the terms and timing of regulatory approvals, and the expense of filing, prosecuting, defending and enforcing any patent claims or other intellectual property rights. We may never succeed in achieving regulatory approval for our product candidates. We may obtain unexpected results from our clinical trials. We may elect to discontinue, delay or modify clinical trials of our product candidates. A change in the outcome of any of these variables with respect to the development of a product candidate could mean a significant change in the costs and timing associated with the development of that product candidate.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Product commercialization will take several years and likely millions of dollars in development costs.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stock-based compensation and related costs for our employees in administrative, executive and finance functions. General and administrative expenses also include professional fees for legal, accounting, audit, tax and consulting services, insurance, human resource, information technology, office, and travel expenses.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in the future as we increase our general and administrative headcount to support our continued research and development and potential commercialization of our product candidates. We also expect to incur increased expenses associated with being a public company, including costs of accounting, audit, legal, regulatory and tax compliance services, director and officer insurance, and investor and public relations costs.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the three months ended March 31, 2023</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2024 and for the three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4"/>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9"/>
        </w:trPr>
        <w:tc>
          <w:tcPr>
            <w:tcW w:w="4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gridSpan w:val="6"/>
          </w:tcPr>
          <w:p>
            <w:pPr>
              <w:jc w:val="center"/>
              <w:ind w:right="54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45"/>
        </w:trPr>
        <w:tc>
          <w:tcPr>
            <w:tcW w:w="4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gridSpan w:val="4"/>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2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Favorable (Unfavorable)</w:t>
            </w:r>
          </w:p>
        </w:tc>
      </w:tr>
      <w:tr>
        <w:trPr>
          <w:trHeight w:val="237"/>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gridSpan w:val="2"/>
          </w:tcPr>
          <w:p>
            <w:pPr>
              <w:spacing w:after="0"/>
              <w:rPr>
                <w:sz w:val="20"/>
                <w:szCs w:val="20"/>
                <w:color w:val="auto"/>
              </w:rPr>
            </w:pPr>
          </w:p>
        </w:tc>
      </w:tr>
      <w:tr>
        <w:trPr>
          <w:trHeight w:val="216"/>
        </w:trPr>
        <w:tc>
          <w:tcPr>
            <w:tcW w:w="4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513</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1,056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543</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51.4%</w:t>
            </w:r>
          </w:p>
        </w:tc>
      </w:tr>
      <w:tr>
        <w:trPr>
          <w:trHeight w:val="250"/>
        </w:trPr>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2,314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3,536</w:t>
            </w: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1,222</w:t>
            </w:r>
          </w:p>
        </w:tc>
        <w:tc>
          <w:tcPr>
            <w:tcW w:w="1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34.6%</w:t>
            </w:r>
          </w:p>
        </w:tc>
      </w:tr>
      <w:tr>
        <w:trPr>
          <w:trHeight w:val="210"/>
        </w:trPr>
        <w:tc>
          <w:tcPr>
            <w:tcW w:w="4700" w:type="dxa"/>
            <w:vAlign w:val="bottom"/>
            <w:tcBorders>
              <w:top w:val="single" w:sz="8" w:color="CCEEFF"/>
              <w:bottom w:val="single" w:sz="8" w:color="CCEEFF"/>
            </w:tcBorders>
            <w:gridSpan w:val="2"/>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2,827</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4,592</w:t>
            </w:r>
          </w:p>
        </w:tc>
        <w:tc>
          <w:tcPr>
            <w:tcW w:w="3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1,765</w:t>
            </w:r>
          </w:p>
        </w:tc>
        <w:tc>
          <w:tcPr>
            <w:tcW w:w="320" w:type="dxa"/>
            <w:vAlign w:val="bottom"/>
            <w:tcBorders>
              <w:top w:val="single" w:sz="8" w:color="CCEEFF"/>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38.4</w:t>
            </w:r>
          </w:p>
        </w:tc>
        <w:tc>
          <w:tcPr>
            <w:tcW w:w="220" w:type="dxa"/>
            <w:vAlign w:val="bottom"/>
            <w:tcBorders>
              <w:top w:val="single" w:sz="8" w:color="CCEEFF"/>
              <w:bottom w:val="single" w:sz="8" w:color="CCEEFF"/>
            </w:tcBorders>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4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(2,827)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(4,592)</w:t>
            </w:r>
          </w:p>
        </w:tc>
        <w:tc>
          <w:tcPr>
            <w:tcW w:w="2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1,765</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38.4%</w:t>
            </w:r>
          </w:p>
        </w:tc>
      </w:tr>
      <w:tr>
        <w:trPr>
          <w:trHeight w:val="216"/>
        </w:trPr>
        <w:tc>
          <w:tcPr>
            <w:tcW w:w="4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7"/>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20"/>
                <w:szCs w:val="20"/>
                <w:color w:val="auto"/>
              </w:rPr>
            </w:pP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4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Pre-tax net loss</w:t>
            </w:r>
          </w:p>
        </w:tc>
        <w:tc>
          <w:tcPr>
            <w:tcW w:w="30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(2,827)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(4,591)</w:t>
            </w:r>
          </w:p>
        </w:tc>
        <w:tc>
          <w:tcPr>
            <w:tcW w:w="2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1,764</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38.4%</w:t>
            </w:r>
          </w:p>
        </w:tc>
      </w:tr>
      <w:tr>
        <w:trPr>
          <w:trHeight w:val="250"/>
        </w:trPr>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1,047</w:t>
            </w: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(1,047)</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47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200" w:type="dxa"/>
            <w:vAlign w:val="bottom"/>
            <w:tcBorders>
              <w:top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320" w:type="dxa"/>
            <w:vAlign w:val="bottom"/>
            <w:tcBorders>
              <w:top w:val="single" w:sz="8" w:color="CCEEFF"/>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2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4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$0.5 million for the three months ended March 31, 2024, a decrease of $0.5 million or 51.4% from the three months ended March 31, 2023. The decrease is attributable to lower manufacturing costs of IC100 of $0.4 million and lower research and development payroll costs of $0.2 million due to fewer employees. This was offset by an increase in CRO fees of $0.1 million for VAR200.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$2.3 million for the three months ended March 31, 2024, a decrease of $1.2 million or 34.6% from the three months ended March 31, 2023. The decrease is primarily attributable to a decrease of $0.4 million in payments for the Effectiveness Failure related to the PIPE shares, a decrease of $0.4 million for bonus accruals, a $0.2 million decrease in accounting fees and a $0.1 million decrease in director and officer insurance.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cash flows from operating and financing activities for the three months ended March 31, 2024 and for the three months ended March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gridSpan w:val="5"/>
          </w:tcPr>
          <w:p>
            <w:pPr>
              <w:jc w:val="right"/>
              <w:ind w:right="98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60" w:type="dxa"/>
            <w:vAlign w:val="bottom"/>
          </w:tcPr>
          <w:p>
            <w:pPr>
              <w:spacing w:after="0"/>
              <w:rPr>
                <w:sz w:val="18"/>
                <w:szCs w:val="18"/>
                <w:color w:val="auto"/>
              </w:rPr>
            </w:pPr>
          </w:p>
        </w:tc>
        <w:tc>
          <w:tcPr>
            <w:tcW w:w="15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0" w:type="dxa"/>
            <w:vAlign w:val="bottom"/>
          </w:tcPr>
          <w:p>
            <w:pPr>
              <w:spacing w:after="0"/>
              <w:rPr>
                <w:sz w:val="1"/>
                <w:szCs w:val="1"/>
                <w:color w:val="auto"/>
              </w:rPr>
            </w:pPr>
          </w:p>
        </w:tc>
      </w:tr>
      <w:tr>
        <w:trPr>
          <w:trHeight w:val="245"/>
        </w:trPr>
        <w:tc>
          <w:tcPr>
            <w:tcW w:w="5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15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(decrease)</w:t>
            </w:r>
          </w:p>
        </w:tc>
        <w:tc>
          <w:tcPr>
            <w:tcW w:w="0" w:type="dxa"/>
            <w:vAlign w:val="bottom"/>
          </w:tcPr>
          <w:p>
            <w:pPr>
              <w:spacing w:after="0"/>
              <w:rPr>
                <w:sz w:val="1"/>
                <w:szCs w:val="1"/>
                <w:color w:val="auto"/>
              </w:rPr>
            </w:pPr>
          </w:p>
        </w:tc>
      </w:tr>
      <w:tr>
        <w:trPr>
          <w:trHeight w:val="216"/>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(3,777)</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(4,589)</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50"/>
        </w:trPr>
        <w:tc>
          <w:tcPr>
            <w:tcW w:w="5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12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2,673</w:t>
            </w:r>
          </w:p>
        </w:tc>
        <w:tc>
          <w:tcPr>
            <w:tcW w:w="4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2,708</w:t>
            </w:r>
          </w:p>
        </w:tc>
        <w:tc>
          <w:tcPr>
            <w:tcW w:w="0" w:type="dxa"/>
            <w:vAlign w:val="bottom"/>
          </w:tcPr>
          <w:p>
            <w:pPr>
              <w:spacing w:after="0"/>
              <w:rPr>
                <w:sz w:val="1"/>
                <w:szCs w:val="1"/>
                <w:color w:val="auto"/>
              </w:rPr>
            </w:pPr>
          </w:p>
        </w:tc>
      </w:tr>
      <w:tr>
        <w:trPr>
          <w:trHeight w:val="217"/>
        </w:trPr>
        <w:tc>
          <w:tcPr>
            <w:tcW w:w="540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360" w:type="dxa"/>
            <w:vAlign w:val="bottom"/>
            <w:tcBorders>
              <w:top w:val="single" w:sz="8" w:color="CCEEFF"/>
            </w:tcBorders>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w w:val="99"/>
              </w:rPr>
              <w:t>17</w:t>
            </w:r>
          </w:p>
        </w:tc>
        <w:tc>
          <w:tcPr>
            <w:tcW w:w="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$3.8 million and $4.6 million for the three months ended March 31, 2024 and 2023, respectively. For the three months ended March 31, 2024 and for the three months ended March 31, 2023, the net cash used in operating activities was primarily attributable to the net loss of approximately $2.8 million and $3.5 million, respectively, offset by $0.3 million and ($0.3) million, respectively, of net non-cash expenses, and approximately ($1.3) million and ($0.8) million, respectively, of cash used in the levels of operating assets and liabilities,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Financing Activities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(used in) financing activities was $2.7 million and ($35) thousand for the three months ended March 31, 2024 and 2023, respectively. Cash provided by financing activities during the three months ended March 31, 2024 represented proceeds from the exercise of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total current assets, liabilities and working capital deficiency at March 31, 2024 and 2023,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6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20" w:type="dxa"/>
            <w:vAlign w:val="bottom"/>
            <w:gridSpan w:val="2"/>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2,900</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3,353</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6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vMerge w:val="continue"/>
          </w:tcPr>
          <w:p>
            <w:pPr>
              <w:spacing w:after="0"/>
              <w:rPr>
                <w:sz w:val="20"/>
                <w:szCs w:val="20"/>
                <w:color w:val="auto"/>
              </w:rPr>
            </w:pPr>
          </w:p>
        </w:tc>
        <w:tc>
          <w:tcPr>
            <w:tcW w:w="1400" w:type="dxa"/>
            <w:vAlign w:val="bottom"/>
            <w:tcBorders>
              <w:bottom w:val="single" w:sz="8" w:color="auto"/>
            </w:tcBorders>
          </w:tcPr>
          <w:p>
            <w:pPr>
              <w:jc w:val="right"/>
              <w:ind w:right="1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9,583</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10,195</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76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Working Capital Deficiency</w:t>
            </w: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(6,683</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(6,842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our inception in 2014 through March 31, 2024, we have not generated any revenue and have incurred significant operating losses and negative cash flows from our operations. Based on our current operating plan, we expect our cash of $2.0 million as of March 31, 2024 will only be sufficient to fund our operating expenses and capital expenditure requirements on a month-to-month basis. However, it is difficult to predict our spending for our product candidates prior to obtaining FDA approval. Moreover, changing circumstances may cause us to expend cash significantly faster than we currently anticipate, and we may need to spend more cash than currently expected because of circumstances beyond our control.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Since inception we have been engaged in organizational activities, including raising capital and research and development activities. We have not generated revenues and have not yet achieved profitable operations, nor have we ever generated positive cash flow from operations. There is no assurance that profitable operations, if achieved, could be sustained on a continuing basis. We are subject to those risks associated with any pre-clinical stage pharmaceutical company that has substantial expenditures for research and development. There can be no assurance that our research and development projects will be successful, that products developed will obtain necessary regulatory approval, or that any approved product will be commercially viable. In addition, we operate in an environment of rapid technological change and are largely dependent on the services of our employees and consultants. Further, our future operations are dependent on the success of our efforts to raise additional capital. These uncertainties raise substantial doubt about our ability to continue as a going concern for 12 months after the issuance date of our financial statements. The accompanying financial statements have been prepared on a going concern basis. The financial statements do not include any adjustments to reflect the possible future effects on the recoverability and classification of assets or the amounts and classification of liabilities that may result from the possible inability of us to continue as a going concern, which contemplates the continuation of operations, realization of assets and liquidation of liabilities in the ordinary course of business. We incurred a net loss of $2.8 million for the three months ended March 31, 2024 and a net loss of $3.5 million for the three months ended March 31, 2023, and we had an accumulated deficit of $106.0 million at March 31, 2024. We anticipate incurring additional losses until such time, if ever, that we can generate significant revenue from our product candidates currently in development. Our primary source of capital has been the issuance of debt and equity securities. We believe that current cash is only sufficient to fund operations and capital requirements on a month-to-month basis. Additional financing will be needed by us to fund our operations, to complete development of and to commercially develop our product candidates. There is no assurance that such financing will be available when needed or on acceptable terms.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summarizes our contractual obligations as of March 31, 2024 that will affect our future liquidity. Based on our current operating plan, we plan to satisfy the obligations identified below from our current cash balance and future financing.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requirements for our current liabilities as of March 31, 2024 include approximately $9.6 million for accounts payable and accrued expenses.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Capital Needs</w:t>
      </w:r>
    </w:p>
    <w:p>
      <w:pPr>
        <w:spacing w:after="0" w:line="22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expect our cash on hand will enable us to make investments in our continued development of VAR200 and IC100 on a month-to-month basis as cash is available. We intend to raise additional capital in the future to fund continued development.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to raise additional capital by issuing equity, equity-linked securities, or debt in subsequent offerings. If we are unable to raise additional capital on terms favorable to us, we may not have sufficient liquidity to execute on our business strategy. We have various warrants outstanding that can be exercised for our common stock, many of which must be exercised in exchange for cash paid to us by the holders of such warrants. If the market price of our common stock is less than the exercise price of a holder’s warrants, it is unlikely that holders will exercise their warrants. As such, we do not expect to receive significant proceeds in the near term from the exercise of most of our warrants based on the current market price of our common stock and the exercise prices of such warrants.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policy is to invest any cash in excess of our immediate requirements in investments designed to preserve the principal balance and provide liquidity while producing a modest return on investment. Accordingly, our cash equivalents will be invested primarily in money market funds.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to continue to incur substantial additional operating losses for at least the next several years as we continue to develop our product candidates and seek marketing approval and, subject to obtaining such approval, the eventual commercialization of our product candidates. If we obtain marketing approval for our product candidates, we will incur significant sales, marketing and outsourced manufacturing expenses. In addition, we expect to incur additional expenses to add operational, financial and information systems and personnel, including personnel to support our planned product commercialization efforts. We also expect to incur significant costs to comply with corporate governance, internal controls and similar requirements applicable to us as a public company.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future use of operating cash and capital requirements will depend on many forward-looking factors, including the following:</w:t>
      </w:r>
    </w:p>
    <w:p>
      <w:pPr>
        <w:spacing w:after="0" w:line="225"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our product candidates;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development plans we establish for each product candidate;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develop or may in-license;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2" w:name="page23"/>
    <w:bookmarkEnd w:id="22"/>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collaboration agreements we may choose to execute;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or other comparable foreign regulatory authorities;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our patent claims and other intellectual property rights;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intellectual property disputes, including patent infringement actions brought by third parties against us;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the implementation of commercial scale manufacturing activities;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or outsourcing, sales, marketing and distribution capabilities for any product candidates for which we may receive regulatory approval in regions where we choose to commercialize our products on our own.</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continue to grow our business over the longer term, we plan to commit substantial resources to research and development, clinical trials of our product candidates, and other operations and potential product acquisitions and in-licensing. We have evaluated and expect to continue to evaluate a wide array of strategic transactions as part of our plan to acquire or in-license and develop additional products and product candidates to augment our internal development pipeline. Strategic transaction opportunities that we may pursue could materially affect our liquidity and capital resources and may require us to incur additional indebtedness, seek equity capital or both. In addition, we may pursue development, acquisition or in-licensing of approved or development products in new or existing therapeutic areas or continue the expansion of our existing operations. Accordingly, we expect to continue to opportunistically seek access to additional capital to license or acquire additional products, product candidates or companies to expand our operations, or for general corporate purposes. Strategic transactions may require us to raise additional capital through one or more public or private debt or equity financings or could be structured as a collaboration or partnering arrangement. We have no arrangements, agreements, or understandings in place at the present time to enter into any acquisition, in-licensing or similar strategic business transaction. In addition, we continue to evaluate commercial collaborations and strategic relationships with established pharmaceutical companies, which would provide us with more immediate access to marketing, sales, market access and distribution infrastructure.</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raise additional funds by issuing equity securities, our stockholders will experience dilution. Debt financing, if available, would result in increased fixed payment obligations and may involve agreements that include covenants limiting or restricting our ability to take specific actions, such as incurring additional debt, making capital expenditures or declaring dividends. Any debt financing or additional equity that we raise may contain terms, such as liquidation and other preferences that are not favorable to us or our existing stockholders. If we raise additional funds through collaboration and licensing arrangements with third parties, it may be necessary to relinquish valuable rights to our technologies, future revenue streams or product candidates or to grant licenses on terms that may not be favorable to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ZyVersa is an “emerging growth company,” as defined in the Jumpstart Our Business Startups Act of 2012, or the JOBS Act. The JOBS Act permits companies with emerging growth company status to take advantage of an extended transition period to comply with new or revised accounting standards, delaying the adoption of these accounting standards until they would apply to private companies. ZyVersa expects to use this extended transition period to enable it to comply with new or revised accounting standards that have different effective dates for public and private companies until the earlier of the date the Company (1) is no longer an emerging growth company or (2) affirmatively and irrevocably opts out of the extended transition period provided in the JOBS Act. As a result, our financial statements may not be comparable to companies that comply with the new or revised accounting standards as of public company effective dates.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color w:val="auto"/>
        </w:rPr>
        <w:t>In addition, the Company intends to rely on the other exemptions and reduced reporting requirements provided by the JOBS 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no off-balance sheet arrangements between us and any other entity that have, or are reasonably likely to have, a current or future effect on financial conditions, changes in financial conditions, revenues or expenses, results of operations, liquidity, capital expenditures or capital resources that is material to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generally accepted accounting principles, which require our management to make estimates that affect the reported amounts of assets, liabilities and disclosures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There are items within our financial statements that require estimation but are not deemed critical, as defined above.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(who serve as our Principal Executive Officer and Principal Financial and Accounting Officer, respectively), to allow timely decisions regarding required disclosure.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March 31, 2024. Based upon their evaluation and due to the material weakness cited below, our Chief Executive Officer and Chief Financial Officer concluded that our disclosure controls and procedures (as defined in Rules 13a-15(e) and 15d-15(e) under the Exchange Act) were ineffective.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Specifically, management’s conclusion was based on the following material weakness which existed as of December 31, 2023 and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7"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process controls across the entity’s financial reporting processes were not effectively designed and implemented to properly address the risk of material misstatement, including controls without proper segregation of duties between preparer and reviewer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management is committed to taking further action and implementing necessary enhancements or improvements, including actions to address the material weakness identified as of December 31, 2023. Management expects to complete the development and implementation of its remediation plan during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of the Effectiveness of Controls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does not expect that our disclosure controls and procedures or our internal control over financial reporting will prevent or detect all error and fraud. A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right="20" w:firstLine="583"/>
        <w:spacing w:after="0" w:line="282" w:lineRule="auto"/>
        <w:rPr>
          <w:sz w:val="20"/>
          <w:szCs w:val="20"/>
          <w:color w:val="auto"/>
        </w:rPr>
      </w:pPr>
      <w:r>
        <w:rPr>
          <w:rFonts w:ascii="Times New Roman" w:cs="Times New Roman" w:eastAsia="Times New Roman" w:hAnsi="Times New Roman"/>
          <w:sz w:val="18"/>
          <w:szCs w:val="18"/>
          <w:color w:val="auto"/>
        </w:rPr>
        <w:t>As a “smaller reporting company”, we are not required to provide information required by this Item. However, investors are encouraged to review our current risk factors set forth in our Annual Report on Form 10-K for the year ended December 31, 2023, filed with the SEC on March 25,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firstLine="583"/>
        <w:spacing w:after="0" w:line="261" w:lineRule="auto"/>
        <w:rPr>
          <w:sz w:val="20"/>
          <w:szCs w:val="20"/>
          <w:color w:val="auto"/>
        </w:rPr>
      </w:pPr>
      <w:r>
        <w:rPr>
          <w:rFonts w:ascii="Times New Roman" w:cs="Times New Roman" w:eastAsia="Times New Roman" w:hAnsi="Times New Roman"/>
          <w:sz w:val="18"/>
          <w:szCs w:val="18"/>
          <w:color w:val="auto"/>
        </w:rPr>
        <w:t>As previously disclosed, on February 5, 2024, a Nasdaq Hearing Panel (the “Panel”) issued a decision (the “February 2024 Decision”) granting the Company’s request for an exception to the requirement to maintain a minimum bid price of $1.00 per share for continued listing on the Nasdaq Capital Market (the “Minimum Bid Price Requirement”), as set forth in Nasdaq Listing Rule 5550(a)(2), until May 3, 2024. The Panel subsequently extended the deadline for the Company to regain compliance to May 13, 2024.</w:t>
      </w:r>
    </w:p>
    <w:p>
      <w:pPr>
        <w:spacing w:after="0" w:line="180" w:lineRule="exact"/>
        <w:rPr>
          <w:sz w:val="20"/>
          <w:szCs w:val="20"/>
          <w:color w:val="auto"/>
        </w:rPr>
      </w:pPr>
    </w:p>
    <w:p>
      <w:pPr>
        <w:jc w:val="both"/>
        <w:ind w:firstLine="583"/>
        <w:spacing w:after="0" w:line="254" w:lineRule="auto"/>
        <w:rPr>
          <w:sz w:val="20"/>
          <w:szCs w:val="20"/>
          <w:color w:val="auto"/>
        </w:rPr>
      </w:pPr>
      <w:r>
        <w:rPr>
          <w:rFonts w:ascii="Times New Roman" w:cs="Times New Roman" w:eastAsia="Times New Roman" w:hAnsi="Times New Roman"/>
          <w:sz w:val="18"/>
          <w:szCs w:val="18"/>
          <w:color w:val="auto"/>
        </w:rPr>
        <w:t>On May 13, 2024, the Company received a letter (the “May 13 Letter”) from Nasdaq notifying the Company that it has regained compliance with the Minimum Bid Price Requirement. The Company will be subject to a Mandatory Panel Monitor for a period of one year from the date of the May 13 Letter pursuant to Nasdaq Listing Rule 5815(d)(4)(B). If, within that one-year monitoring period, the Listing Qualifications Staff (the “Staff”) of Nasdaq finds the Company again out of compliance with the Minimum Bid Price Requirement, notwithstanding Nasdaq Listing Rule 5810(c)(2), the Company will not be permitted to provide the Staff with a plan of compliance with respect to that deficiency and the Staff will not be permitted to grant additional time for the Company to regain compliance with respect to that deficiency, nor will the Company be afforded an applicable cure or compliance period pursuant to Nasdaq Listing Rule 5810(c)(3). Instead, the Staff will issue a Delist Determination Letter and the Company will have an opportunity to request a new hearing with the initial Panel or a newly convened hearings panel if the initial Panel is unavailable.</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9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10140" w:type="dxa"/>
            <w:vAlign w:val="bottom"/>
            <w:tcBorders>
              <w:top w:val="single" w:sz="8" w:color="auto"/>
              <w:bottom w:val="single" w:sz="8" w:color="0000EE"/>
            </w:tcBorders>
            <w:gridSpan w:val="5"/>
          </w:tcPr>
          <w:p>
            <w:pPr>
              <w:spacing w:after="0" w:line="17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Certificate of Amendment filed with the Delaware Secretary of State on April 25, 2024 (incorporated by reference to Exhibit 3.1 of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5"/>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Company’s current report on Form 8-K filed with the SEC on April 25, 2024).</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62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13a-14(a) or Rule 15d-14(a).</w:t>
            </w:r>
          </w:p>
        </w:tc>
        <w:tc>
          <w:tcPr>
            <w:tcW w:w="3900" w:type="dxa"/>
            <w:vAlign w:val="bottom"/>
            <w:gridSpan w:val="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10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Rule 13a-14(a) or Rule 15d-14(a).</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18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75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and Chief Financial Officer pursuant to 18 U.S.C. Section 1350.</w:t>
            </w:r>
          </w:p>
        </w:tc>
        <w:tc>
          <w:tcPr>
            <w:tcW w:w="2600" w:type="dxa"/>
            <w:vAlign w:val="bottom"/>
          </w:tcPr>
          <w:p>
            <w:pPr>
              <w:spacing w:after="0"/>
              <w:rPr>
                <w:sz w:val="17"/>
                <w:szCs w:val="17"/>
                <w:color w:val="auto"/>
              </w:rPr>
            </w:pPr>
          </w:p>
        </w:tc>
      </w:tr>
      <w:tr>
        <w:trPr>
          <w:trHeight w:val="21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Inline Instance Document (the instance document does not appear in the Interactive Data File because its XBRL tags are embedded</w:t>
            </w:r>
          </w:p>
        </w:tc>
      </w:tr>
      <w:tr>
        <w:trPr>
          <w:trHeight w:val="216"/>
        </w:trPr>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Exhibits 101).</w:t>
            </w:r>
          </w:p>
        </w:tc>
      </w:tr>
    </w:tbl>
    <w:p>
      <w:pPr>
        <w:spacing w:after="0" w:line="198"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to be signed on its behalf by the undersigned hereunto duly authorized.</w:t>
      </w:r>
    </w:p>
    <w:p>
      <w:pPr>
        <w:spacing w:after="0" w:line="160"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May 15,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Stephen C, Glover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Stephen C. Glover</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May 15,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Peter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Peter Wolfe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ZYVERSA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C. Glover,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ZYVERSA THERAPEUTICS,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annual report any change in the registrant’s internal control over financial reporting that occurred during the registrant’s most recent fiscal quarter (the registrant’s fourth quarter in the case of an annual report) that has materially affected, or is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May 15,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Stephen C. Glover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Stephen C. Glover</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ZYVERSA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Wolfe,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ZYVERSA THERAPEUTICS,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annual report any change in the registrant’s internal control over financial reporting that occurred during the registrant’s most recent fiscal quarter (the registrant’s fourth quarter in the case of an annual report) that has materially affected, or is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May 15,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Peter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Peter Wolfe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ZYVERSA THERAPEUTICS, INC. (the “Company”) on Form 10-Q for the quarter ended March 31, 2024, as filed with the Securities and Exchange Commission on the date hereof (the “Report”), each of the undersigned officers of the Company certifies, pursuant to 18 U.S.C. Section 1350, as adopted pursuant to Section 906 of the Sarbanes-Oxley Act of 2002, that, to such officer’s knowledge:</w:t>
      </w:r>
    </w:p>
    <w:p>
      <w:pPr>
        <w:spacing w:after="0" w:line="203" w:lineRule="exact"/>
        <w:rPr>
          <w:sz w:val="20"/>
          <w:szCs w:val="20"/>
          <w:color w:val="auto"/>
        </w:rPr>
      </w:pPr>
    </w:p>
    <w:p>
      <w:pPr>
        <w:ind w:left="280" w:hanging="272"/>
        <w:spacing w:after="0"/>
        <w:tabs>
          <w:tab w:leader="none" w:pos="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60"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May 15,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Stephen C. Glover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Stephen C. Glover</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May 15,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Peter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Peter Wolfe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32" Type="http://schemas.openxmlformats.org/officeDocument/2006/relationships/hyperlink" Target="https://www.sec.gov/Archives/edgar/data/1859007/000149315224015938/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2024-05-15T07:46:18Z</dcterms:created>
  <dcterms:modified xsi:type="dcterms:W3CDTF">2024-05-15T07:46:18Z</dcterms:modified>
</cp:coreProperties>
</file>