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07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286385</wp:posOffset>
            </wp:positionV>
            <wp:extent cx="716407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1333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3"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QUARTERLY REPORT PURSUANT TO SECTION 13 OR 15(d) OF THE SECURITIES EXCHANGE ACT OF 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3"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TRANSITION REPORT PURSUANT TO SECTION 13 OR 15(d) OF THE SECURITIES EXCHANGE ACT OF 1934</w:t>
      </w:r>
    </w:p>
    <w:p>
      <w:pPr>
        <w:spacing w:after="0" w:line="19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 xml:space="preserve">For the transition period from _______ to </w:t>
      </w:r>
      <w:r>
        <w:rPr>
          <w:rFonts w:ascii="Times New Roman" w:cs="Times New Roman" w:eastAsia="Times New Roman" w:hAnsi="Times New Roman"/>
          <w:sz w:val="14"/>
          <w:szCs w:val="14"/>
          <w:color w:val="auto"/>
        </w:rPr>
        <w:t>_______</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001-41184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ZYVERSA THERAPEUTICS,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40" w:type="dxa"/>
            <w:vAlign w:val="bottom"/>
          </w:tcPr>
          <w:p>
            <w:pPr>
              <w:jc w:val="center"/>
              <w:ind w:left="14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0" w:type="dxa"/>
            <w:vAlign w:val="bottom"/>
          </w:tcPr>
          <w:p>
            <w:pPr>
              <w:jc w:val="right"/>
              <w:ind w:right="2351"/>
              <w:spacing w:after="0"/>
              <w:rPr>
                <w:sz w:val="20"/>
                <w:szCs w:val="20"/>
                <w:color w:val="auto"/>
              </w:rPr>
            </w:pPr>
            <w:r>
              <w:rPr>
                <w:rFonts w:ascii="Times New Roman" w:cs="Times New Roman" w:eastAsia="Times New Roman" w:hAnsi="Times New Roman"/>
                <w:sz w:val="14"/>
                <w:szCs w:val="14"/>
                <w:b w:val="1"/>
                <w:bCs w:val="1"/>
                <w:color w:val="auto"/>
              </w:rPr>
              <w:t>86-2685744</w:t>
            </w:r>
          </w:p>
        </w:tc>
      </w:tr>
      <w:tr>
        <w:trPr>
          <w:trHeight w:val="166"/>
        </w:trPr>
        <w:tc>
          <w:tcPr>
            <w:tcW w:w="20" w:type="dxa"/>
            <w:vAlign w:val="bottom"/>
          </w:tcPr>
          <w:p>
            <w:pPr>
              <w:spacing w:after="0"/>
              <w:rPr>
                <w:sz w:val="14"/>
                <w:szCs w:val="14"/>
                <w:color w:val="auto"/>
              </w:rPr>
            </w:pPr>
          </w:p>
        </w:tc>
        <w:tc>
          <w:tcPr>
            <w:tcW w:w="4040" w:type="dxa"/>
            <w:vAlign w:val="bottom"/>
          </w:tcPr>
          <w:p>
            <w:pPr>
              <w:jc w:val="center"/>
              <w:ind w:left="1391"/>
              <w:spacing w:after="0"/>
              <w:rPr>
                <w:sz w:val="20"/>
                <w:szCs w:val="20"/>
                <w:color w:val="auto"/>
              </w:rPr>
            </w:pPr>
            <w:r>
              <w:rPr>
                <w:rFonts w:ascii="Times New Roman" w:cs="Times New Roman" w:eastAsia="Times New Roman" w:hAnsi="Times New Roman"/>
                <w:sz w:val="14"/>
                <w:szCs w:val="14"/>
                <w:color w:val="auto"/>
                <w:w w:val="99"/>
              </w:rPr>
              <w:t>(State or other jurisdiction</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0" w:type="dxa"/>
            <w:vAlign w:val="bottom"/>
          </w:tcPr>
          <w:p>
            <w:pPr>
              <w:jc w:val="center"/>
              <w:ind w:right="1631"/>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81"/>
        </w:trPr>
        <w:tc>
          <w:tcPr>
            <w:tcW w:w="20" w:type="dxa"/>
            <w:vAlign w:val="bottom"/>
          </w:tcPr>
          <w:p>
            <w:pPr>
              <w:spacing w:after="0"/>
              <w:rPr>
                <w:sz w:val="15"/>
                <w:szCs w:val="15"/>
                <w:color w:val="auto"/>
              </w:rPr>
            </w:pPr>
          </w:p>
        </w:tc>
        <w:tc>
          <w:tcPr>
            <w:tcW w:w="4040" w:type="dxa"/>
            <w:vAlign w:val="bottom"/>
          </w:tcPr>
          <w:p>
            <w:pPr>
              <w:jc w:val="center"/>
              <w:ind w:left="1391"/>
              <w:spacing w:after="0"/>
              <w:rPr>
                <w:sz w:val="20"/>
                <w:szCs w:val="20"/>
                <w:color w:val="auto"/>
              </w:rPr>
            </w:pPr>
            <w:r>
              <w:rPr>
                <w:rFonts w:ascii="Times New Roman" w:cs="Times New Roman" w:eastAsia="Times New Roman" w:hAnsi="Times New Roman"/>
                <w:sz w:val="14"/>
                <w:szCs w:val="14"/>
                <w:color w:val="auto"/>
                <w:w w:val="98"/>
              </w:rPr>
              <w:t>of incorporation or organization)</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0" w:type="dxa"/>
            <w:vAlign w:val="bottom"/>
          </w:tcPr>
          <w:p>
            <w:pPr>
              <w:jc w:val="center"/>
              <w:ind w:right="1651"/>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314"/>
        </w:trPr>
        <w:tc>
          <w:tcPr>
            <w:tcW w:w="20" w:type="dxa"/>
            <w:vAlign w:val="bottom"/>
          </w:tcPr>
          <w:p>
            <w:pPr>
              <w:spacing w:after="0"/>
              <w:rPr>
                <w:sz w:val="24"/>
                <w:szCs w:val="24"/>
                <w:color w:val="auto"/>
              </w:rPr>
            </w:pPr>
          </w:p>
        </w:tc>
        <w:tc>
          <w:tcPr>
            <w:tcW w:w="4040" w:type="dxa"/>
            <w:vAlign w:val="bottom"/>
          </w:tcPr>
          <w:p>
            <w:pPr>
              <w:jc w:val="center"/>
              <w:ind w:left="1391"/>
              <w:spacing w:after="0"/>
              <w:rPr>
                <w:sz w:val="20"/>
                <w:szCs w:val="20"/>
                <w:color w:val="auto"/>
              </w:rPr>
            </w:pPr>
            <w:r>
              <w:rPr>
                <w:rFonts w:ascii="Times New Roman" w:cs="Times New Roman" w:eastAsia="Times New Roman" w:hAnsi="Times New Roman"/>
                <w:sz w:val="14"/>
                <w:szCs w:val="14"/>
                <w:b w:val="1"/>
                <w:bCs w:val="1"/>
                <w:color w:val="auto"/>
                <w:w w:val="98"/>
              </w:rPr>
              <w:t>2200 N. Commerce Parkway, Suite 208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4040" w:type="dxa"/>
            <w:vAlign w:val="bottom"/>
          </w:tcPr>
          <w:p>
            <w:pPr>
              <w:jc w:val="center"/>
              <w:ind w:left="1391"/>
              <w:spacing w:after="0"/>
              <w:rPr>
                <w:sz w:val="20"/>
                <w:szCs w:val="20"/>
                <w:color w:val="auto"/>
              </w:rPr>
            </w:pPr>
            <w:r>
              <w:rPr>
                <w:rFonts w:ascii="Times New Roman" w:cs="Times New Roman" w:eastAsia="Times New Roman" w:hAnsi="Times New Roman"/>
                <w:sz w:val="14"/>
                <w:szCs w:val="14"/>
                <w:b w:val="1"/>
                <w:bCs w:val="1"/>
                <w:color w:val="auto"/>
                <w:w w:val="97"/>
              </w:rPr>
              <w:t>Weston, FL 33326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0" w:type="dxa"/>
            <w:vAlign w:val="bottom"/>
          </w:tcPr>
          <w:p>
            <w:pPr>
              <w:jc w:val="right"/>
              <w:ind w:right="2511"/>
              <w:spacing w:after="0"/>
              <w:rPr>
                <w:sz w:val="20"/>
                <w:szCs w:val="20"/>
                <w:color w:val="auto"/>
              </w:rPr>
            </w:pPr>
            <w:r>
              <w:rPr>
                <w:rFonts w:ascii="Times New Roman" w:cs="Times New Roman" w:eastAsia="Times New Roman" w:hAnsi="Times New Roman"/>
                <w:sz w:val="14"/>
                <w:szCs w:val="14"/>
                <w:b w:val="1"/>
                <w:bCs w:val="1"/>
                <w:color w:val="auto"/>
              </w:rPr>
              <w:t>33326</w:t>
            </w:r>
          </w:p>
        </w:tc>
      </w:tr>
      <w:tr>
        <w:trPr>
          <w:trHeight w:val="181"/>
        </w:trPr>
        <w:tc>
          <w:tcPr>
            <w:tcW w:w="20" w:type="dxa"/>
            <w:vAlign w:val="bottom"/>
          </w:tcPr>
          <w:p>
            <w:pPr>
              <w:spacing w:after="0"/>
              <w:rPr>
                <w:sz w:val="15"/>
                <w:szCs w:val="15"/>
                <w:color w:val="auto"/>
              </w:rPr>
            </w:pPr>
          </w:p>
        </w:tc>
        <w:tc>
          <w:tcPr>
            <w:tcW w:w="7460" w:type="dxa"/>
            <w:vAlign w:val="bottom"/>
            <w:gridSpan w:val="6"/>
          </w:tcPr>
          <w:p>
            <w:pPr>
              <w:jc w:val="center"/>
              <w:ind w:right="1960"/>
              <w:spacing w:after="0"/>
              <w:rPr>
                <w:sz w:val="20"/>
                <w:szCs w:val="20"/>
                <w:color w:val="auto"/>
              </w:rPr>
            </w:pPr>
            <w:r>
              <w:rPr>
                <w:rFonts w:ascii="Times New Roman" w:cs="Times New Roman" w:eastAsia="Times New Roman" w:hAnsi="Times New Roman"/>
                <w:sz w:val="14"/>
                <w:szCs w:val="14"/>
                <w:color w:val="auto"/>
                <w:w w:val="97"/>
              </w:rPr>
              <w:t>(Address of registrant’s principal executive offices)</w:t>
            </w:r>
          </w:p>
        </w:tc>
        <w:tc>
          <w:tcPr>
            <w:tcW w:w="3800" w:type="dxa"/>
            <w:vAlign w:val="bottom"/>
          </w:tcPr>
          <w:p>
            <w:pPr>
              <w:jc w:val="center"/>
              <w:ind w:right="165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1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720" w:type="dxa"/>
            <w:vAlign w:val="bottom"/>
            <w:gridSpan w:val="3"/>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w w:val="98"/>
              </w:rPr>
              <w:t>(754) 231-1688</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3800" w:type="dxa"/>
            <w:vAlign w:val="bottom"/>
          </w:tcPr>
          <w:p>
            <w:pPr>
              <w:spacing w:after="0"/>
              <w:rPr>
                <w:sz w:val="15"/>
                <w:szCs w:val="15"/>
                <w:color w:val="auto"/>
              </w:rPr>
            </w:pPr>
          </w:p>
        </w:tc>
      </w:tr>
      <w:tr>
        <w:trPr>
          <w:trHeight w:val="33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4040" w:type="dxa"/>
            <w:vAlign w:val="bottom"/>
          </w:tcPr>
          <w:p>
            <w:pPr>
              <w:jc w:val="center"/>
              <w:ind w:left="151"/>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800" w:type="dxa"/>
            <w:vAlign w:val="bottom"/>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81"/>
        </w:trPr>
        <w:tc>
          <w:tcPr>
            <w:tcW w:w="20" w:type="dxa"/>
            <w:vAlign w:val="bottom"/>
          </w:tcPr>
          <w:p>
            <w:pPr>
              <w:spacing w:after="0"/>
              <w:rPr>
                <w:sz w:val="15"/>
                <w:szCs w:val="15"/>
                <w:color w:val="auto"/>
              </w:rPr>
            </w:pPr>
          </w:p>
        </w:tc>
        <w:tc>
          <w:tcPr>
            <w:tcW w:w="4040" w:type="dxa"/>
            <w:vAlign w:val="bottom"/>
            <w:tcBorders>
              <w:top w:val="single" w:sz="8" w:color="auto"/>
            </w:tcBorders>
          </w:tcPr>
          <w:p>
            <w:pPr>
              <w:jc w:val="center"/>
              <w:ind w:left="151"/>
              <w:spacing w:after="0"/>
              <w:rPr>
                <w:sz w:val="20"/>
                <w:szCs w:val="20"/>
                <w:color w:val="auto"/>
              </w:rPr>
            </w:pPr>
            <w:r>
              <w:rPr>
                <w:rFonts w:ascii="Times New Roman" w:cs="Times New Roman" w:eastAsia="Times New Roman" w:hAnsi="Times New Roman"/>
                <w:sz w:val="14"/>
                <w:szCs w:val="14"/>
                <w:color w:val="auto"/>
                <w:w w:val="98"/>
              </w:rPr>
              <w:t>Common Stock, $0.0001 par value per share</w:t>
            </w: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ZVSA</w:t>
            </w:r>
          </w:p>
        </w:tc>
        <w:tc>
          <w:tcPr>
            <w:tcW w:w="2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800" w:type="dxa"/>
            <w:vAlign w:val="bottom"/>
            <w:tcBorders>
              <w:top w:val="single" w:sz="8" w:color="auto"/>
            </w:tcBorders>
          </w:tcPr>
          <w:p>
            <w:pPr>
              <w:jc w:val="center"/>
              <w:ind w:right="411"/>
              <w:spacing w:after="0"/>
              <w:rPr>
                <w:sz w:val="20"/>
                <w:szCs w:val="20"/>
                <w:color w:val="auto"/>
              </w:rPr>
            </w:pPr>
            <w:r>
              <w:rPr>
                <w:rFonts w:ascii="Times New Roman" w:cs="Times New Roman" w:eastAsia="Times New Roman" w:hAnsi="Times New Roman"/>
                <w:sz w:val="14"/>
                <w:szCs w:val="14"/>
                <w:color w:val="auto"/>
                <w:w w:val="97"/>
              </w:rPr>
              <w:t>The Nasdaq Capital Market</w:t>
            </w:r>
          </w:p>
        </w:tc>
      </w:tr>
    </w:tbl>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6407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w:t>
      </w:r>
    </w:p>
    <w:p>
      <w:pPr>
        <w:spacing w:after="0" w:line="2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jc w:val="both"/>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1"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Accelerated filer</w:t>
            </w:r>
          </w:p>
        </w:tc>
        <w:tc>
          <w:tcPr>
            <w:tcW w:w="2120" w:type="dxa"/>
            <w:vAlign w:val="bottom"/>
          </w:tcPr>
          <w:p>
            <w:pPr>
              <w:ind w:left="20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6"/>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120" w:type="dxa"/>
            <w:vAlign w:val="bottom"/>
          </w:tcPr>
          <w:p>
            <w:pPr>
              <w:ind w:left="20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8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120" w:type="dxa"/>
            <w:vAlign w:val="bottom"/>
          </w:tcPr>
          <w:p>
            <w:pPr>
              <w:ind w:left="20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8" w:lineRule="exact"/>
        <w:rPr>
          <w:sz w:val="24"/>
          <w:szCs w:val="24"/>
          <w:color w:val="auto"/>
        </w:rPr>
      </w:pPr>
    </w:p>
    <w:p>
      <w:pPr>
        <w:jc w:val="both"/>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8, 2024, the number of shares outstanding of the registrant’s common stock, $0.0001 par value per share, was 1,029,196.</w:t>
      </w:r>
    </w:p>
    <w:p>
      <w:pPr>
        <w:spacing w:after="0" w:line="170"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Except as otherwise indicated, all share and per share information in this Report gives effect to the reverse stock split of the registrant’s outstanding common stock at a ratio of one-for-ten shares, which was effected as of 4:01 p.m. Eastern Time on April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716407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716407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359410</wp:posOffset>
            </wp:positionV>
            <wp:extent cx="716407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600"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ZYVERSA THERAPEUTICS,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CONDENSED CONSOLIDATED FINANCIAL STATEMENTS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8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0000EE"/>
              </w:rPr>
              <w:t>PART I FINANCIAL INFORMATION</w:t>
            </w:r>
          </w:p>
        </w:tc>
        <w:tc>
          <w:tcPr>
            <w:tcW w:w="1380" w:type="dxa"/>
            <w:vAlign w:val="bottom"/>
            <w:shd w:val="clear" w:color="auto" w:fill="CCEEFF"/>
          </w:tcPr>
          <w:p>
            <w:pPr>
              <w:jc w:val="center"/>
              <w:ind w:left="871"/>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760" w:type="dxa"/>
            <w:vAlign w:val="bottom"/>
            <w:gridSpan w:val="1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 Financial Statements</w:t>
            </w:r>
          </w:p>
        </w:tc>
        <w:tc>
          <w:tcPr>
            <w:tcW w:w="1380" w:type="dxa"/>
            <w:vAlign w:val="bottom"/>
            <w:shd w:val="clear" w:color="auto" w:fill="CCEEFF"/>
          </w:tcPr>
          <w:p>
            <w:pPr>
              <w:jc w:val="center"/>
              <w:ind w:left="871"/>
              <w:spacing w:after="0" w:line="135"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20" w:type="dxa"/>
            <w:vAlign w:val="bottom"/>
            <w:gridSpan w:val="1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Condensed Consolidated Balance Sheets as of June 30, 2024 (unaudited) and December 31, 2023</w:t>
            </w:r>
          </w:p>
        </w:tc>
        <w:tc>
          <w:tcPr>
            <w:tcW w:w="1380" w:type="dxa"/>
            <w:vAlign w:val="bottom"/>
            <w:shd w:val="clear" w:color="auto" w:fill="CCEEFF"/>
          </w:tcPr>
          <w:p>
            <w:pPr>
              <w:jc w:val="center"/>
              <w:ind w:left="871"/>
              <w:spacing w:after="0" w:line="135"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20" w:type="dxa"/>
            <w:vAlign w:val="bottom"/>
            <w:gridSpan w:val="1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Unaudited Condensed Consolidated Statements of Operations for the Three and Six Months Ended June 30, 2024 and June 30, 2023</w:t>
            </w:r>
          </w:p>
        </w:tc>
        <w:tc>
          <w:tcPr>
            <w:tcW w:w="1380" w:type="dxa"/>
            <w:vAlign w:val="bottom"/>
            <w:shd w:val="clear" w:color="auto" w:fill="CCEEFF"/>
          </w:tcPr>
          <w:p>
            <w:pPr>
              <w:jc w:val="center"/>
              <w:ind w:left="871"/>
              <w:spacing w:after="0" w:line="135"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34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20" w:type="dxa"/>
            <w:vAlign w:val="bottom"/>
            <w:gridSpan w:val="1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Unaudited Condensed Consolidated Statements of Changes in Stockholders’ Equity for the Three and Six Months Ended June 30, 2024 and June 30, 2023</w:t>
            </w:r>
          </w:p>
        </w:tc>
        <w:tc>
          <w:tcPr>
            <w:tcW w:w="1380" w:type="dxa"/>
            <w:vAlign w:val="bottom"/>
            <w:shd w:val="clear" w:color="auto" w:fill="CCEEFF"/>
          </w:tcPr>
          <w:p>
            <w:pPr>
              <w:jc w:val="center"/>
              <w:ind w:left="871"/>
              <w:spacing w:after="0" w:line="135"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34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20" w:type="dxa"/>
            <w:vAlign w:val="bottom"/>
            <w:gridSpan w:val="1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Unaudited Condensed Consolidated Statements of Cash flows for the Six Months Ended June 30, 2024 and June 30, 2023</w:t>
            </w:r>
          </w:p>
        </w:tc>
        <w:tc>
          <w:tcPr>
            <w:tcW w:w="1380" w:type="dxa"/>
            <w:vAlign w:val="bottom"/>
            <w:shd w:val="clear" w:color="auto" w:fill="CCEEFF"/>
          </w:tcPr>
          <w:p>
            <w:pPr>
              <w:jc w:val="center"/>
              <w:ind w:left="871"/>
              <w:spacing w:after="0" w:line="135"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340" w:type="dxa"/>
            <w:vAlign w:val="bottom"/>
            <w:tcBorders>
              <w:top w:val="single" w:sz="8" w:color="0000EE"/>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20" w:type="dxa"/>
            <w:vAlign w:val="bottom"/>
            <w:gridSpan w:val="1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Notes to Unaudited Condensed Consolidated Financial Statements</w:t>
            </w:r>
          </w:p>
        </w:tc>
        <w:tc>
          <w:tcPr>
            <w:tcW w:w="1380" w:type="dxa"/>
            <w:vAlign w:val="bottom"/>
            <w:shd w:val="clear" w:color="auto" w:fill="CCEEFF"/>
          </w:tcPr>
          <w:p>
            <w:pPr>
              <w:jc w:val="center"/>
              <w:ind w:left="871"/>
              <w:spacing w:after="0" w:line="135"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760" w:type="dxa"/>
            <w:vAlign w:val="bottom"/>
            <w:gridSpan w:val="1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2. Management’s Discussion and Analysis of Financial Condition and Results of Operations.</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14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760" w:type="dxa"/>
            <w:vAlign w:val="bottom"/>
            <w:gridSpan w:val="1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3. Quantitative and Qualitative Disclosures About Market Risk.</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23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760" w:type="dxa"/>
            <w:vAlign w:val="bottom"/>
            <w:gridSpan w:val="1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4. Controls and Procedures.</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23</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988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PART II - OTHER INFORMATION</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760" w:type="dxa"/>
            <w:vAlign w:val="bottom"/>
            <w:gridSpan w:val="1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 Legal Proceedings.</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760" w:type="dxa"/>
            <w:vAlign w:val="bottom"/>
            <w:gridSpan w:val="1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1A. Risk Factors.</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760" w:type="dxa"/>
            <w:vAlign w:val="bottom"/>
            <w:gridSpan w:val="1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2. Unregistered Sales of Equity Securities and Use of Proceeds.</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4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w w:val="99"/>
              </w:rPr>
              <w:t>ITEM 3.</w:t>
            </w:r>
          </w:p>
        </w:tc>
        <w:tc>
          <w:tcPr>
            <w:tcW w:w="9260" w:type="dxa"/>
            <w:vAlign w:val="bottom"/>
            <w:gridSpan w:val="17"/>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0000EE"/>
              </w:rPr>
              <w:t>Defaults Upon Senior Securities.</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w w:val="99"/>
              </w:rPr>
              <w:t>ITEM 4.</w:t>
            </w:r>
          </w:p>
        </w:tc>
        <w:tc>
          <w:tcPr>
            <w:tcW w:w="9260" w:type="dxa"/>
            <w:vAlign w:val="bottom"/>
            <w:gridSpan w:val="17"/>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0000EE"/>
              </w:rPr>
              <w:t>Mine Safety Disclosures.</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w w:val="99"/>
              </w:rPr>
              <w:t>ITEM 5.</w:t>
            </w:r>
          </w:p>
        </w:tc>
        <w:tc>
          <w:tcPr>
            <w:tcW w:w="9260" w:type="dxa"/>
            <w:vAlign w:val="bottom"/>
            <w:gridSpan w:val="17"/>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0000EE"/>
              </w:rPr>
              <w:t>Other Information.</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w w:val="99"/>
              </w:rPr>
              <w:t>ITEM 6.</w:t>
            </w:r>
          </w:p>
        </w:tc>
        <w:tc>
          <w:tcPr>
            <w:tcW w:w="9260" w:type="dxa"/>
            <w:vAlign w:val="bottom"/>
            <w:gridSpan w:val="17"/>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0000EE"/>
              </w:rPr>
              <w:t>Exhibits.</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25</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gridSpan w:val="2"/>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4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9880" w:type="dxa"/>
            <w:vAlign w:val="bottom"/>
            <w:gridSpan w:val="20"/>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SIGNATURES</w:t>
            </w:r>
          </w:p>
        </w:tc>
        <w:tc>
          <w:tcPr>
            <w:tcW w:w="1380" w:type="dxa"/>
            <w:vAlign w:val="bottom"/>
            <w:shd w:val="clear" w:color="auto" w:fill="CCEEFF"/>
          </w:tcPr>
          <w:p>
            <w:pPr>
              <w:jc w:val="center"/>
              <w:ind w:left="891"/>
              <w:spacing w:after="0" w:line="135" w:lineRule="exact"/>
              <w:rPr>
                <w:sz w:val="20"/>
                <w:szCs w:val="20"/>
                <w:color w:val="auto"/>
              </w:rPr>
            </w:pPr>
            <w:r>
              <w:rPr>
                <w:rFonts w:ascii="Times New Roman" w:cs="Times New Roman" w:eastAsia="Times New Roman" w:hAnsi="Times New Roman"/>
                <w:sz w:val="14"/>
                <w:szCs w:val="14"/>
                <w:color w:val="auto"/>
                <w:w w:val="99"/>
              </w:rPr>
              <w:t>26</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37"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000" w:type="dxa"/>
            <w:vAlign w:val="bottom"/>
          </w:tcPr>
          <w:p>
            <w:pPr>
              <w:jc w:val="center"/>
              <w:ind w:left="4171"/>
              <w:spacing w:after="0"/>
              <w:rPr>
                <w:sz w:val="20"/>
                <w:szCs w:val="20"/>
                <w:color w:val="auto"/>
              </w:rPr>
            </w:pPr>
            <w:r>
              <w:rPr>
                <w:rFonts w:ascii="Times New Roman" w:cs="Times New Roman" w:eastAsia="Times New Roman" w:hAnsi="Times New Roman"/>
                <w:sz w:val="14"/>
                <w:szCs w:val="14"/>
                <w:b w:val="1"/>
                <w:bCs w:val="1"/>
                <w:color w:val="auto"/>
                <w:w w:val="97"/>
              </w:rPr>
              <w:t>PART I FINANCIAL INFORMATION</w:t>
            </w: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000" w:type="dxa"/>
            <w:vAlign w:val="bottom"/>
          </w:tcPr>
          <w:p>
            <w:pPr>
              <w:jc w:val="center"/>
              <w:ind w:left="4171"/>
              <w:spacing w:after="0"/>
              <w:rPr>
                <w:sz w:val="20"/>
                <w:szCs w:val="20"/>
                <w:color w:val="auto"/>
              </w:rPr>
            </w:pPr>
            <w:r>
              <w:rPr>
                <w:rFonts w:ascii="Times New Roman" w:cs="Times New Roman" w:eastAsia="Times New Roman" w:hAnsi="Times New Roman"/>
                <w:sz w:val="14"/>
                <w:szCs w:val="14"/>
                <w:b w:val="1"/>
                <w:bCs w:val="1"/>
                <w:color w:val="auto"/>
                <w:w w:val="97"/>
              </w:rPr>
              <w:t>ZYVERSA THERAPEUTICS, INC.</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440" w:type="dxa"/>
            <w:vAlign w:val="bottom"/>
            <w:gridSpan w:val="2"/>
          </w:tcPr>
          <w:p>
            <w:pPr>
              <w:jc w:val="center"/>
              <w:ind w:left="3731"/>
              <w:spacing w:after="0"/>
              <w:rPr>
                <w:sz w:val="20"/>
                <w:szCs w:val="20"/>
                <w:color w:val="auto"/>
              </w:rPr>
            </w:pPr>
            <w:r>
              <w:rPr>
                <w:rFonts w:ascii="Times New Roman" w:cs="Times New Roman" w:eastAsia="Times New Roman" w:hAnsi="Times New Roman"/>
                <w:sz w:val="14"/>
                <w:szCs w:val="14"/>
                <w:b w:val="1"/>
                <w:bCs w:val="1"/>
                <w:color w:val="auto"/>
                <w:w w:val="97"/>
              </w:rPr>
              <w:t>CONDENSED CONSOLIDATED BALANCE SHEETS</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24"/>
                <w:szCs w:val="24"/>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119,486</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3,137,674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521,906</w:t>
            </w:r>
          </w:p>
        </w:tc>
        <w:tc>
          <w:tcPr>
            <w:tcW w:w="3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215,459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0" w:type="dxa"/>
            <w:vAlign w:val="bottom"/>
            <w:tcBorders>
              <w:top w:val="single" w:sz="8" w:color="CCEEFF"/>
            </w:tcBorders>
          </w:tcPr>
          <w:p>
            <w:pPr>
              <w:ind w:left="400"/>
              <w:spacing w:after="0" w:line="147" w:lineRule="exact"/>
              <w:rPr>
                <w:sz w:val="20"/>
                <w:szCs w:val="20"/>
                <w:color w:val="auto"/>
              </w:rPr>
            </w:pPr>
            <w:r>
              <w:rPr>
                <w:rFonts w:ascii="Times New Roman" w:cs="Times New Roman" w:eastAsia="Times New Roman" w:hAnsi="Times New Roman"/>
                <w:sz w:val="14"/>
                <w:szCs w:val="14"/>
                <w:color w:val="auto"/>
              </w:rPr>
              <w:t>Total Current Assets</w:t>
            </w:r>
          </w:p>
        </w:tc>
        <w:tc>
          <w:tcPr>
            <w:tcW w:w="4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641,392</w:t>
            </w:r>
          </w:p>
        </w:tc>
        <w:tc>
          <w:tcPr>
            <w:tcW w:w="34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3,353,133</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net</w:t>
            </w:r>
          </w:p>
        </w:tc>
        <w:tc>
          <w:tcPr>
            <w:tcW w:w="4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1,733</w:t>
            </w:r>
          </w:p>
        </w:tc>
        <w:tc>
          <w:tcPr>
            <w:tcW w:w="3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6,933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In-process research and development</w:t>
            </w:r>
          </w:p>
        </w:tc>
        <w:tc>
          <w:tcPr>
            <w:tcW w:w="440" w:type="dxa"/>
            <w:vAlign w:val="bottom"/>
          </w:tcPr>
          <w:p>
            <w:pPr>
              <w:spacing w:after="0"/>
              <w:rPr>
                <w:sz w:val="14"/>
                <w:szCs w:val="1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18,647,903</w:t>
            </w:r>
          </w:p>
        </w:tc>
        <w:tc>
          <w:tcPr>
            <w:tcW w:w="30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18,647,903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Vendor deposit</w:t>
            </w:r>
          </w:p>
        </w:tc>
        <w:tc>
          <w:tcPr>
            <w:tcW w:w="4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178,476</w:t>
            </w:r>
          </w:p>
        </w:tc>
        <w:tc>
          <w:tcPr>
            <w:tcW w:w="3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98,476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440" w:type="dxa"/>
            <w:vAlign w:val="bottom"/>
          </w:tcPr>
          <w:p>
            <w:pPr>
              <w:spacing w:after="0"/>
              <w:rPr>
                <w:sz w:val="15"/>
                <w:szCs w:val="15"/>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Assets</w:t>
            </w:r>
          </w:p>
        </w:tc>
        <w:tc>
          <w:tcPr>
            <w:tcW w:w="44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19,469,504</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22,114,284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0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8,316,506</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8,431,583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1,678,322</w:t>
            </w: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1,754,533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440" w:type="dxa"/>
            <w:vAlign w:val="bottom"/>
          </w:tcPr>
          <w:p>
            <w:pPr>
              <w:spacing w:after="0"/>
              <w:rPr>
                <w:sz w:val="15"/>
                <w:szCs w:val="15"/>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8,656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4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9,994,828</w:t>
            </w:r>
          </w:p>
        </w:tc>
        <w:tc>
          <w:tcPr>
            <w:tcW w:w="3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10,194,772</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440" w:type="dxa"/>
            <w:vAlign w:val="bottom"/>
          </w:tcPr>
          <w:p>
            <w:pPr>
              <w:spacing w:after="0"/>
              <w:rPr>
                <w:sz w:val="15"/>
                <w:szCs w:val="15"/>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854,621</w:t>
            </w:r>
          </w:p>
        </w:tc>
        <w:tc>
          <w:tcPr>
            <w:tcW w:w="300" w:type="dxa"/>
            <w:vAlign w:val="bottom"/>
          </w:tcPr>
          <w:p>
            <w:pPr>
              <w:spacing w:after="0"/>
              <w:rPr>
                <w:sz w:val="15"/>
                <w:szCs w:val="15"/>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844,914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Liabilities</w:t>
            </w: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10,849,449</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11,039,686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7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6)</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 $0.0001 par value, 1,000,000 shares authorized:</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Series A preferred stock, 8,635 shares designated, 50 shares issued and outstanding as of June 30, 2024 and</w:t>
            </w: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440" w:type="dxa"/>
            <w:vAlign w:val="bottom"/>
          </w:tcPr>
          <w:p>
            <w:pPr>
              <w:spacing w:after="0"/>
              <w:rPr>
                <w:sz w:val="15"/>
                <w:szCs w:val="15"/>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0" w:type="dxa"/>
            <w:vAlign w:val="bottom"/>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Series B preferred stock, 5,062 shares designated, 5,062 shares issued and outstanding as of June 30, 2024 and</w:t>
            </w: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December 31, 2023</w:t>
            </w:r>
          </w:p>
        </w:tc>
        <w:tc>
          <w:tcPr>
            <w:tcW w:w="4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$0.0001 par value, 250,000,000 shares authorized;</w:t>
            </w: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0" w:type="dxa"/>
            <w:vAlign w:val="bottom"/>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834,903 and 405,212 shares issued at June 30, 2024 and December 31, 2023, respectively, and 834,896 and 402,205</w:t>
            </w: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shares outstanding as of June 30, 2024 and December 31, 2023, respectively</w:t>
            </w:r>
          </w:p>
        </w:tc>
        <w:tc>
          <w:tcPr>
            <w:tcW w:w="4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83</w:t>
            </w:r>
          </w:p>
        </w:tc>
        <w:tc>
          <w:tcPr>
            <w:tcW w:w="3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paid-in-capital</w:t>
            </w:r>
          </w:p>
        </w:tc>
        <w:tc>
          <w:tcPr>
            <w:tcW w:w="440" w:type="dxa"/>
            <w:vAlign w:val="bottom"/>
          </w:tcPr>
          <w:p>
            <w:pPr>
              <w:spacing w:after="0"/>
              <w:rPr>
                <w:sz w:val="14"/>
                <w:szCs w:val="1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117,436,743</w:t>
            </w:r>
          </w:p>
        </w:tc>
        <w:tc>
          <w:tcPr>
            <w:tcW w:w="30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114,300,849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4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(108,809,604)</w:t>
            </w:r>
          </w:p>
        </w:tc>
        <w:tc>
          <w:tcPr>
            <w:tcW w:w="3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(103,219,124)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 at cost, 7 shares at June 30, 2024 and December 31, 2023, respectively</w:t>
            </w:r>
          </w:p>
        </w:tc>
        <w:tc>
          <w:tcPr>
            <w:tcW w:w="440" w:type="dxa"/>
            <w:vAlign w:val="bottom"/>
          </w:tcPr>
          <w:p>
            <w:pPr>
              <w:spacing w:after="0"/>
              <w:rPr>
                <w:sz w:val="15"/>
                <w:szCs w:val="15"/>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(7,168)</w:t>
            </w:r>
          </w:p>
        </w:tc>
        <w:tc>
          <w:tcPr>
            <w:tcW w:w="300" w:type="dxa"/>
            <w:vAlign w:val="bottom"/>
          </w:tcPr>
          <w:p>
            <w:pPr>
              <w:spacing w:after="0"/>
              <w:rPr>
                <w:sz w:val="15"/>
                <w:szCs w:val="15"/>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(7,168)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8,620,055</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11,074,598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19,469,504</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22,114,284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9260" w:type="dxa"/>
            <w:vAlign w:val="bottom"/>
            <w:gridSpan w:val="4"/>
          </w:tcPr>
          <w:p>
            <w:pPr>
              <w:jc w:val="center"/>
              <w:ind w:left="1911"/>
              <w:spacing w:after="0"/>
              <w:rPr>
                <w:sz w:val="20"/>
                <w:szCs w:val="20"/>
                <w:color w:val="auto"/>
              </w:rPr>
            </w:pPr>
            <w:r>
              <w:rPr>
                <w:rFonts w:ascii="Times New Roman" w:cs="Times New Roman" w:eastAsia="Times New Roman" w:hAnsi="Times New Roman"/>
                <w:sz w:val="14"/>
                <w:szCs w:val="14"/>
                <w:color w:val="auto"/>
                <w:w w:val="98"/>
              </w:rPr>
              <w:t>The accompanying notes are an integral part of these condensed consolidated financial statements.</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000" w:type="dxa"/>
            <w:vAlign w:val="bottom"/>
            <w:tcBorders>
              <w:bottom w:val="single" w:sz="8" w:color="auto"/>
            </w:tcBorders>
          </w:tcPr>
          <w:p>
            <w:pPr>
              <w:jc w:val="center"/>
              <w:ind w:left="4171"/>
              <w:spacing w:after="0"/>
              <w:rPr>
                <w:sz w:val="20"/>
                <w:szCs w:val="20"/>
                <w:color w:val="auto"/>
              </w:rPr>
            </w:pPr>
            <w:r>
              <w:rPr>
                <w:rFonts w:ascii="Times New Roman" w:cs="Times New Roman" w:eastAsia="Times New Roman" w:hAnsi="Times New Roman"/>
                <w:sz w:val="14"/>
                <w:szCs w:val="14"/>
                <w:color w:val="auto"/>
              </w:rPr>
              <w:t>1</w:t>
            </w: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37"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7"/>
              </w:rPr>
              <w:t>ZYVERSA THERAPEUTICS, INC.</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5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CONDENSED CONSOLIDATED STATEMENTS OF OPERATIONS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center"/>
              <w:ind w:left="63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24"/>
                <w:szCs w:val="24"/>
                <w:color w:val="auto"/>
              </w:rPr>
            </w:pPr>
          </w:p>
        </w:tc>
        <w:tc>
          <w:tcPr>
            <w:tcW w:w="30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3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4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709,049</w:t>
            </w:r>
          </w:p>
        </w:tc>
        <w:tc>
          <w:tcPr>
            <w:tcW w:w="340" w:type="dxa"/>
            <w:vAlign w:val="bottom"/>
          </w:tcPr>
          <w:p>
            <w:pPr>
              <w:spacing w:after="0"/>
              <w:rPr>
                <w:sz w:val="14"/>
                <w:szCs w:val="14"/>
                <w:color w:val="auto"/>
              </w:rPr>
            </w:pPr>
          </w:p>
        </w:tc>
        <w:tc>
          <w:tcPr>
            <w:tcW w:w="60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1,220,576</w:t>
            </w:r>
          </w:p>
        </w:tc>
        <w:tc>
          <w:tcPr>
            <w:tcW w:w="34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1,221,987</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2,276,519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2,044,929</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3,929,225</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4,358,627</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7,465,362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in-process research and development</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69,280,171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69,280,171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goodwill</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11,895,033</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11,895,033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20" w:type="dxa"/>
            <w:vAlign w:val="bottom"/>
            <w:tcBorders>
              <w:top w:val="single" w:sz="8" w:color="CCEEFF"/>
              <w:bottom w:val="single" w:sz="8" w:color="CCEEFF"/>
            </w:tcBorders>
          </w:tcPr>
          <w:p>
            <w:pPr>
              <w:ind w:left="260"/>
              <w:spacing w:after="0" w:line="147" w:lineRule="exact"/>
              <w:rPr>
                <w:sz w:val="20"/>
                <w:szCs w:val="20"/>
                <w:color w:val="auto"/>
              </w:rPr>
            </w:pPr>
            <w:r>
              <w:rPr>
                <w:rFonts w:ascii="Times New Roman" w:cs="Times New Roman" w:eastAsia="Times New Roman" w:hAnsi="Times New Roman"/>
                <w:sz w:val="14"/>
                <w:szCs w:val="14"/>
                <w:color w:val="auto"/>
              </w:rPr>
              <w:t>Total Operating Expenses</w:t>
            </w:r>
          </w:p>
        </w:tc>
        <w:tc>
          <w:tcPr>
            <w:tcW w:w="96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2,753,978</w:t>
            </w:r>
          </w:p>
        </w:tc>
        <w:tc>
          <w:tcPr>
            <w:tcW w:w="340" w:type="dxa"/>
            <w:vAlign w:val="bottom"/>
            <w:tcBorders>
              <w:top w:val="single" w:sz="8" w:color="CCEEFF"/>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86,325,005</w:t>
            </w:r>
          </w:p>
        </w:tc>
        <w:tc>
          <w:tcPr>
            <w:tcW w:w="34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5,580,614</w:t>
            </w:r>
          </w:p>
        </w:tc>
        <w:tc>
          <w:tcPr>
            <w:tcW w:w="340" w:type="dxa"/>
            <w:vAlign w:val="bottom"/>
            <w:tcBorders>
              <w:top w:val="single" w:sz="8" w:color="CCEEFF"/>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90,917,085</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From Operations</w:t>
            </w: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(2,753,978)</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(86,325,005)</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(5,580,614)</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(90,917,085)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(income) expense</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159</w:t>
            </w:r>
          </w:p>
        </w:tc>
        <w:tc>
          <w:tcPr>
            <w:tcW w:w="32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Pre-Tax Net Loss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(2,754,036)</w:t>
            </w:r>
          </w:p>
        </w:tc>
        <w:tc>
          <w:tcPr>
            <w:tcW w:w="6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(86,325,319)</w:t>
            </w:r>
          </w:p>
        </w:tc>
        <w:tc>
          <w:tcPr>
            <w:tcW w:w="34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(5,580,773)</w:t>
            </w:r>
          </w:p>
        </w:tc>
        <w:tc>
          <w:tcPr>
            <w:tcW w:w="32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(90,916,320)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(9,707)</w:t>
            </w: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7,812,226</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(9,707)</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8,859,277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tcBorders>
              <w:top w:val="single" w:sz="8" w:color="CCEEFF"/>
            </w:tcBorders>
          </w:tcPr>
          <w:p>
            <w:pPr>
              <w:ind w:left="260"/>
              <w:spacing w:after="0" w:line="147"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96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(2,763,743)</w:t>
            </w:r>
          </w:p>
        </w:tc>
        <w:tc>
          <w:tcPr>
            <w:tcW w:w="34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(78,513,093)</w:t>
            </w:r>
          </w:p>
        </w:tc>
        <w:tc>
          <w:tcPr>
            <w:tcW w:w="34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(5,590,480)</w:t>
            </w:r>
          </w:p>
        </w:tc>
        <w:tc>
          <w:tcPr>
            <w:tcW w:w="34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(82,057,043)</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Deemed dividend to preferred stockholders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(7,915,836)</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(7,915,836)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CCEEFF"/>
              <w:bottom w:val="single" w:sz="8" w:color="CCEEFF"/>
            </w:tcBorders>
          </w:tcPr>
          <w:p>
            <w:pPr>
              <w:ind w:left="260"/>
              <w:spacing w:after="0" w:line="157" w:lineRule="exact"/>
              <w:rPr>
                <w:sz w:val="20"/>
                <w:szCs w:val="20"/>
                <w:color w:val="auto"/>
              </w:rPr>
            </w:pPr>
            <w:r>
              <w:rPr>
                <w:rFonts w:ascii="Times New Roman" w:cs="Times New Roman" w:eastAsia="Times New Roman" w:hAnsi="Times New Roman"/>
                <w:sz w:val="14"/>
                <w:szCs w:val="14"/>
                <w:b w:val="1"/>
                <w:bCs w:val="1"/>
                <w:color w:val="auto"/>
              </w:rPr>
              <w:t>Net Loss Attributable to Common Stockholders</w:t>
            </w:r>
          </w:p>
        </w:tc>
        <w:tc>
          <w:tcPr>
            <w:tcW w:w="96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(2,763,743</w:t>
            </w:r>
          </w:p>
        </w:tc>
        <w:tc>
          <w:tcPr>
            <w:tcW w:w="340" w:type="dxa"/>
            <w:vAlign w:val="bottom"/>
            <w:tcBorders>
              <w:top w:val="single" w:sz="8" w:color="CCEEFF"/>
              <w:bottom w:val="single" w:sz="8" w:color="CCEEFF"/>
            </w:tcBorders>
          </w:tcPr>
          <w:p>
            <w:pPr>
              <w:jc w:val="right"/>
              <w:ind w:right="211"/>
              <w:spacing w:after="0" w:line="157" w:lineRule="exact"/>
              <w:rPr>
                <w:sz w:val="20"/>
                <w:szCs w:val="20"/>
                <w:color w:val="auto"/>
              </w:rPr>
            </w:pPr>
            <w:r>
              <w:rPr>
                <w:rFonts w:ascii="Times New Roman" w:cs="Times New Roman" w:eastAsia="Times New Roman" w:hAnsi="Times New Roman"/>
                <w:sz w:val="14"/>
                <w:szCs w:val="14"/>
                <w:color w:val="auto"/>
                <w:w w:val="84"/>
              </w:rPr>
              <w:t>)</w:t>
            </w:r>
          </w:p>
        </w:tc>
        <w:tc>
          <w:tcPr>
            <w:tcW w:w="600" w:type="dxa"/>
            <w:vAlign w:val="bottom"/>
            <w:tcBorders>
              <w:top w:val="single" w:sz="8" w:color="auto"/>
              <w:bottom w:val="single" w:sz="8" w:color="auto"/>
            </w:tcBorders>
          </w:tcPr>
          <w:p>
            <w:pPr>
              <w:jc w:val="right"/>
              <w:ind w:right="45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(86,428,929</w:t>
            </w:r>
          </w:p>
        </w:tc>
        <w:tc>
          <w:tcPr>
            <w:tcW w:w="340" w:type="dxa"/>
            <w:vAlign w:val="bottom"/>
            <w:tcBorders>
              <w:top w:val="single" w:sz="8" w:color="CCEEFF"/>
              <w:bottom w:val="single" w:sz="8" w:color="CCEEFF"/>
            </w:tcBorders>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auto"/>
              <w:bottom w:val="single" w:sz="8" w:color="auto"/>
            </w:tcBorders>
          </w:tcPr>
          <w:p>
            <w:pPr>
              <w:jc w:val="right"/>
              <w:ind w:right="19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(5,590,480</w:t>
            </w:r>
          </w:p>
        </w:tc>
        <w:tc>
          <w:tcPr>
            <w:tcW w:w="340" w:type="dxa"/>
            <w:vAlign w:val="bottom"/>
            <w:tcBorders>
              <w:top w:val="single" w:sz="8" w:color="CCEEFF"/>
              <w:bottom w:val="single" w:sz="8" w:color="CCEEFF"/>
            </w:tcBorders>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(89,972,879</w:t>
            </w:r>
          </w:p>
        </w:tc>
        <w:tc>
          <w:tcPr>
            <w:tcW w:w="100" w:type="dxa"/>
            <w:vAlign w:val="bottom"/>
            <w:tcBorders>
              <w:top w:val="single" w:sz="8" w:color="CCEEFF"/>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Per Share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Basic and Diluted</w:t>
            </w:r>
          </w:p>
        </w:tc>
        <w:tc>
          <w:tcPr>
            <w:tcW w:w="11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(3.31)</w:t>
            </w:r>
          </w:p>
        </w:tc>
        <w:tc>
          <w:tcPr>
            <w:tcW w:w="6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(1,694.12)</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(7.67)</w:t>
            </w: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(2,329.76)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4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Basic and Diluted</w:t>
            </w: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834,915</w:t>
            </w: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51,017</w:t>
            </w:r>
          </w:p>
        </w:tc>
        <w:tc>
          <w:tcPr>
            <w:tcW w:w="3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729,306</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ZYVERSA THERAPEUTICS, INC.</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20" w:type="dxa"/>
            <w:vAlign w:val="bottom"/>
            <w:gridSpan w:val="3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CONDENSED CONSOLIDATED STATEMENTS OF CHANGES IN STOCKHOLDERS’ EQUITY</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19"/>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8"/>
              </w:rPr>
              <w:t>For The Three and Six Months Ended June 30, 2024 and 2023</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4"/>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6"/>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For the Three and Six Months Ended June 30, 2024</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20" w:type="dxa"/>
            <w:vAlign w:val="bottom"/>
            <w:gridSpan w:val="3"/>
          </w:tcPr>
          <w:p>
            <w:pPr>
              <w:jc w:val="center"/>
              <w:ind w:left="51"/>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4"/>
          </w:tcPr>
          <w:p>
            <w:pPr>
              <w:jc w:val="right"/>
              <w:ind w:right="211"/>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20" w:type="dxa"/>
            <w:vAlign w:val="bottom"/>
            <w:gridSpan w:val="3"/>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5"/>
                <w:szCs w:val="15"/>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080" w:type="dxa"/>
            <w:vAlign w:val="bottom"/>
            <w:gridSpan w:val="3"/>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20" w:type="dxa"/>
            <w:vAlign w:val="bottom"/>
            <w:tcBorders>
              <w:top w:val="single" w:sz="8" w:color="auto"/>
            </w:tcBorders>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5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5,062</w:t>
            </w:r>
          </w:p>
        </w:tc>
        <w:tc>
          <w:tcPr>
            <w:tcW w:w="160" w:type="dxa"/>
            <w:vAlign w:val="bottom"/>
            <w:shd w:val="clear" w:color="auto" w:fill="CCEEFF"/>
          </w:tcPr>
          <w:p>
            <w:pPr>
              <w:spacing w:after="0"/>
              <w:rPr>
                <w:sz w:val="14"/>
                <w:szCs w:val="14"/>
                <w:color w:val="auto"/>
              </w:rPr>
            </w:pPr>
          </w:p>
        </w:tc>
        <w:tc>
          <w:tcPr>
            <w:tcW w:w="440" w:type="dxa"/>
            <w:vAlign w:val="bottom"/>
            <w:tcBorders>
              <w:left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4"/>
                <w:szCs w:val="14"/>
                <w:color w:val="auto"/>
              </w:rPr>
            </w:pPr>
          </w:p>
        </w:tc>
        <w:tc>
          <w:tcPr>
            <w:tcW w:w="5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405,212</w:t>
            </w:r>
          </w:p>
        </w:tc>
        <w:tc>
          <w:tcPr>
            <w:tcW w:w="14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5"/>
              </w:rPr>
              <w:t>40</w:t>
            </w:r>
          </w:p>
        </w:tc>
        <w:tc>
          <w:tcPr>
            <w:tcW w:w="18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(7,168)</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114,300,849</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(103,219,124)</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11,074,598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warrants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213,800</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2,672,479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5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tcBorders>
              <w:left w:val="single" w:sz="8" w:color="CCEEFF"/>
            </w:tcBorders>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5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131,481</w:t>
            </w:r>
          </w:p>
        </w:tc>
        <w:tc>
          <w:tcPr>
            <w:tcW w:w="14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13</w:t>
            </w:r>
          </w:p>
        </w:tc>
        <w:tc>
          <w:tcPr>
            <w:tcW w:w="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94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6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rPr>
              <w:t>Issuance of common stock pursuant to</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vendor agreements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9,000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79,199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79,200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6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4"/>
                <w:szCs w:val="14"/>
                <w:color w:val="auto"/>
              </w:rPr>
              <w:t>Round up share adjustment due to</w:t>
            </w:r>
          </w:p>
        </w:tc>
        <w:tc>
          <w:tcPr>
            <w:tcW w:w="5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reverse split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5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44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58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75,410</w:t>
            </w:r>
          </w:p>
        </w:tc>
        <w:tc>
          <w:tcPr>
            <w:tcW w:w="140" w:type="dxa"/>
            <w:vAlign w:val="bottom"/>
            <w:shd w:val="clear" w:color="auto" w:fill="CCEEFF"/>
          </w:tcPr>
          <w:p>
            <w:pPr>
              <w:spacing w:after="0"/>
              <w:rPr>
                <w:sz w:val="15"/>
                <w:szCs w:val="15"/>
                <w:color w:val="auto"/>
              </w:rPr>
            </w:pPr>
          </w:p>
        </w:tc>
        <w:tc>
          <w:tcPr>
            <w:tcW w:w="400" w:type="dxa"/>
            <w:vAlign w:val="bottom"/>
            <w:tcBorders>
              <w:left w:val="single" w:sz="8" w:color="CCEEFF"/>
            </w:tcBorders>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94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223,573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223,573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5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44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5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9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(2,826,737)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(2,826,737)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 March 31, 2024</w:t>
            </w: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4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5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4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5,062</w:t>
            </w: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834,903</w:t>
            </w:r>
          </w:p>
        </w:tc>
        <w:tc>
          <w:tcPr>
            <w:tcW w:w="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83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2"/>
              </w:rPr>
              <w:t>(7,168)</w:t>
            </w:r>
          </w:p>
        </w:tc>
        <w:tc>
          <w:tcPr>
            <w:tcW w:w="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117,276,079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3"/>
              </w:rPr>
              <w:t>(106,045,861)</w:t>
            </w:r>
          </w:p>
        </w:tc>
        <w:tc>
          <w:tcPr>
            <w:tcW w:w="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11,223,134</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5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440" w:type="dxa"/>
            <w:vAlign w:val="bottom"/>
            <w:tcBorders>
              <w:left w:val="single" w:sz="8" w:color="CCEEFF"/>
            </w:tcBorders>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160,664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94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160,664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(2,763,743)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(2,763,743)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June 30, 2024</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left w:val="single" w:sz="8" w:color="CCEEFF"/>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834,903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left w:val="single" w:sz="8" w:color="CCEEFF"/>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83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(7,168</w:t>
            </w:r>
          </w:p>
        </w:tc>
        <w:tc>
          <w:tcPr>
            <w:tcW w:w="22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117,436,743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left w:val="single" w:sz="8" w:color="CCEEFF"/>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(108,809,604</w:t>
            </w:r>
          </w:p>
        </w:tc>
        <w:tc>
          <w:tcPr>
            <w:tcW w:w="180" w:type="dxa"/>
            <w:vAlign w:val="bottom"/>
            <w:tcBorders>
              <w:top w:val="single" w:sz="8" w:color="CCEEFF"/>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4"/>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8,620,055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6"/>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For the Three and Six Months Ended June 30, 2023</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20" w:type="dxa"/>
            <w:vAlign w:val="bottom"/>
            <w:gridSpan w:val="3"/>
          </w:tcPr>
          <w:p>
            <w:pPr>
              <w:jc w:val="center"/>
              <w:ind w:left="51"/>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4"/>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91"/>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20" w:type="dxa"/>
            <w:vAlign w:val="bottom"/>
            <w:gridSpan w:val="3"/>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5"/>
                <w:szCs w:val="15"/>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080" w:type="dxa"/>
            <w:vAlign w:val="bottom"/>
            <w:gridSpan w:val="3"/>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9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20" w:type="dxa"/>
            <w:vAlign w:val="bottom"/>
            <w:tcBorders>
              <w:top w:val="single" w:sz="8" w:color="auto"/>
            </w:tcBorders>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5"/>
                <w:szCs w:val="15"/>
                <w:color w:val="auto"/>
              </w:rPr>
            </w:pPr>
          </w:p>
        </w:tc>
        <w:tc>
          <w:tcPr>
            <w:tcW w:w="7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7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64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8,635</w:t>
            </w:r>
          </w:p>
        </w:tc>
        <w:tc>
          <w:tcPr>
            <w:tcW w:w="2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5,062</w:t>
            </w:r>
          </w:p>
        </w:tc>
        <w:tc>
          <w:tcPr>
            <w:tcW w:w="44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lef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25,760</w:t>
            </w:r>
          </w:p>
        </w:tc>
        <w:tc>
          <w:tcPr>
            <w:tcW w:w="400" w:type="dxa"/>
            <w:vAlign w:val="bottom"/>
            <w:tcBorders>
              <w:lef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w:t>
            </w:r>
          </w:p>
        </w:tc>
        <w:tc>
          <w:tcPr>
            <w:tcW w:w="520" w:type="dxa"/>
            <w:vAlign w:val="bottom"/>
            <w:gridSpan w:val="2"/>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104,584,170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9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(4,921,178)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99,662,997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6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rPr>
              <w:t>Reclassification of formerly</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redeemable common stock</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188</w:t>
            </w:r>
          </w:p>
        </w:tc>
        <w:tc>
          <w:tcPr>
            <w:tcW w:w="4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331,331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331,331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6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4"/>
                <w:szCs w:val="14"/>
                <w:color w:val="auto"/>
              </w:rPr>
              <w:t>Issuance of common stock pursuant to</w:t>
            </w:r>
          </w:p>
        </w:tc>
        <w:tc>
          <w:tcPr>
            <w:tcW w:w="5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vendor agreements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tcBorders>
              <w:lef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371</w:t>
            </w:r>
          </w:p>
        </w:tc>
        <w:tc>
          <w:tcPr>
            <w:tcW w:w="400" w:type="dxa"/>
            <w:vAlign w:val="bottom"/>
            <w:tcBorders>
              <w:left w:val="single" w:sz="8" w:color="CCEEFF"/>
            </w:tcBorders>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395,200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395,200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6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rPr>
              <w:t>Registration costs associated with</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 issuance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(34,674)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(34,674)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left w:val="single" w:sz="8" w:color="CCEEFF"/>
            </w:tcBorders>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tcBorders>
              <w:lef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lef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520" w:type="dxa"/>
            <w:vAlign w:val="bottom"/>
            <w:gridSpan w:val="2"/>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287,461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287,461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(3,543,950)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(3,543,950)</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3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left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lef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left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left w:val="single" w:sz="8" w:color="CCEEFF"/>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 March 31,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8,635</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5,062</w:t>
            </w:r>
          </w:p>
        </w:tc>
        <w:tc>
          <w:tcPr>
            <w:tcW w:w="440" w:type="dxa"/>
            <w:vAlign w:val="bottom"/>
          </w:tcPr>
          <w:p>
            <w:pPr>
              <w:spacing w:after="0"/>
              <w:rPr>
                <w:sz w:val="14"/>
                <w:szCs w:val="14"/>
                <w:color w:val="auto"/>
              </w:rPr>
            </w:pPr>
          </w:p>
        </w:tc>
        <w:tc>
          <w:tcPr>
            <w:tcW w:w="3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26,319</w:t>
            </w:r>
          </w:p>
        </w:tc>
        <w:tc>
          <w:tcPr>
            <w:tcW w:w="400" w:type="dxa"/>
            <w:vAlign w:val="bottom"/>
          </w:tcPr>
          <w:p>
            <w:pPr>
              <w:spacing w:after="0"/>
              <w:rPr>
                <w:sz w:val="14"/>
                <w:szCs w:val="14"/>
                <w:color w:val="auto"/>
              </w:rPr>
            </w:pP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w:t>
            </w:r>
          </w:p>
        </w:tc>
        <w:tc>
          <w:tcPr>
            <w:tcW w:w="520" w:type="dxa"/>
            <w:vAlign w:val="bottom"/>
            <w:gridSpan w:val="2"/>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105,563,488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(8,465,128)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97,098,365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6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4"/>
                <w:szCs w:val="14"/>
                <w:color w:val="auto"/>
              </w:rPr>
              <w:t>Registered offering of common stock</w:t>
            </w:r>
          </w:p>
        </w:tc>
        <w:tc>
          <w:tcPr>
            <w:tcW w:w="5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tcBorders>
              <w:lef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31,473</w:t>
            </w:r>
          </w:p>
        </w:tc>
        <w:tc>
          <w:tcPr>
            <w:tcW w:w="400" w:type="dxa"/>
            <w:vAlign w:val="bottom"/>
            <w:tcBorders>
              <w:left w:val="single" w:sz="8" w:color="CCEEFF"/>
            </w:tcBorders>
            <w:shd w:val="clear" w:color="auto" w:fill="CCEEFF"/>
          </w:tcPr>
          <w:p>
            <w:pPr>
              <w:spacing w:after="0"/>
              <w:rPr>
                <w:sz w:val="15"/>
                <w:szCs w:val="15"/>
                <w:color w:val="auto"/>
              </w:rPr>
            </w:pPr>
          </w:p>
        </w:tc>
        <w:tc>
          <w:tcPr>
            <w:tcW w:w="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w:t>
            </w:r>
          </w:p>
        </w:tc>
        <w:tc>
          <w:tcPr>
            <w:tcW w:w="520" w:type="dxa"/>
            <w:vAlign w:val="bottom"/>
            <w:gridSpan w:val="2"/>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9,831,016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9,831,019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6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rPr>
              <w:t>Redemption of Series A Preferred</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7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(8,400)</w:t>
            </w:r>
          </w:p>
        </w:tc>
        <w:tc>
          <w:tcPr>
            <w:tcW w:w="400" w:type="dxa"/>
            <w:vAlign w:val="bottom"/>
          </w:tcPr>
          <w:p>
            <w:pPr>
              <w:spacing w:after="0"/>
              <w:rPr>
                <w:sz w:val="15"/>
                <w:szCs w:val="15"/>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7"/>
              </w:rPr>
              <w:t>(1)</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(10,080,000)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(10,080,001)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6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4"/>
                <w:szCs w:val="14"/>
                <w:color w:val="auto"/>
              </w:rPr>
              <w:t>Conversion of Series A Preferred</w:t>
            </w:r>
          </w:p>
        </w:tc>
        <w:tc>
          <w:tcPr>
            <w:tcW w:w="5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 into common stock</w:t>
            </w:r>
          </w:p>
        </w:tc>
        <w:tc>
          <w:tcPr>
            <w:tcW w:w="720" w:type="dxa"/>
            <w:vAlign w:val="bottom"/>
            <w:tcBorders>
              <w:right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(35)</w:t>
            </w:r>
          </w:p>
        </w:tc>
        <w:tc>
          <w:tcPr>
            <w:tcW w:w="4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tcBorders>
              <w:lef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w:t>
            </w:r>
          </w:p>
        </w:tc>
        <w:tc>
          <w:tcPr>
            <w:tcW w:w="400" w:type="dxa"/>
            <w:vAlign w:val="bottom"/>
            <w:tcBorders>
              <w:left w:val="single" w:sz="8" w:color="CCEEFF"/>
            </w:tcBorders>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6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rPr>
              <w:t>Shares issued as consideration for</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extension of lock-up period</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8,698</w:t>
            </w:r>
          </w:p>
        </w:tc>
        <w:tc>
          <w:tcPr>
            <w:tcW w:w="400" w:type="dxa"/>
            <w:vAlign w:val="bottom"/>
          </w:tcPr>
          <w:p>
            <w:pPr>
              <w:spacing w:after="0"/>
              <w:rPr>
                <w:sz w:val="15"/>
                <w:szCs w:val="15"/>
                <w:color w:val="auto"/>
              </w:rPr>
            </w:pP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gridSpan w:val="2"/>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1,156,777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1,156,778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60" w:type="dxa"/>
            <w:vAlign w:val="bottom"/>
            <w:shd w:val="clear" w:color="auto" w:fill="CCEEFF"/>
          </w:tcPr>
          <w:p>
            <w:pPr>
              <w:ind w:left="120"/>
              <w:spacing w:after="0" w:line="151" w:lineRule="exact"/>
              <w:rPr>
                <w:sz w:val="20"/>
                <w:szCs w:val="20"/>
                <w:color w:val="auto"/>
              </w:rPr>
            </w:pPr>
            <w:r>
              <w:rPr>
                <w:rFonts w:ascii="Times New Roman" w:cs="Times New Roman" w:eastAsia="Times New Roman" w:hAnsi="Times New Roman"/>
                <w:sz w:val="14"/>
                <w:szCs w:val="14"/>
                <w:color w:val="auto"/>
              </w:rPr>
              <w:t>Issuance of common stock pursuant to</w:t>
            </w:r>
          </w:p>
        </w:tc>
        <w:tc>
          <w:tcPr>
            <w:tcW w:w="5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vendor agreements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tcBorders>
              <w:lef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1,086</w:t>
            </w:r>
          </w:p>
        </w:tc>
        <w:tc>
          <w:tcPr>
            <w:tcW w:w="400" w:type="dxa"/>
            <w:vAlign w:val="bottom"/>
            <w:tcBorders>
              <w:left w:val="single" w:sz="8" w:color="CCEEFF"/>
            </w:tcBorders>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520" w:type="dxa"/>
            <w:vAlign w:val="bottom"/>
            <w:gridSpan w:val="2"/>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520" w:type="dxa"/>
            <w:vAlign w:val="bottom"/>
            <w:gridSpan w:val="2"/>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365,742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365,742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acquired, at cost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lef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left w:val="single" w:sz="8" w:color="CCEEFF"/>
            </w:tcBorders>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tcBorders>
              <w:lef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left w:val="single" w:sz="8" w:color="CCEEFF"/>
            </w:tcBorders>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center"/>
              <w:ind w:left="291"/>
              <w:spacing w:after="0"/>
              <w:rPr>
                <w:sz w:val="20"/>
                <w:szCs w:val="20"/>
                <w:color w:val="auto"/>
              </w:rPr>
            </w:pPr>
            <w:r>
              <w:rPr>
                <w:rFonts w:ascii="Times New Roman" w:cs="Times New Roman" w:eastAsia="Times New Roman" w:hAnsi="Times New Roman"/>
                <w:sz w:val="14"/>
                <w:szCs w:val="14"/>
                <w:color w:val="auto"/>
                <w:w w:val="97"/>
              </w:rPr>
              <w:t>(7)</w:t>
            </w: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(7,168)</w:t>
            </w:r>
          </w:p>
        </w:tc>
        <w:tc>
          <w:tcPr>
            <w:tcW w:w="100" w:type="dxa"/>
            <w:vAlign w:val="bottom"/>
            <w:tcBorders>
              <w:lef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(7,168)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520" w:type="dxa"/>
            <w:vAlign w:val="bottom"/>
            <w:gridSpan w:val="2"/>
          </w:tcPr>
          <w:p>
            <w:pPr>
              <w:jc w:val="center"/>
              <w:ind w:left="411"/>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(78,513,093)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(78,513,093)</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3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left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lef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left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left w:val="single" w:sz="8" w:color="CCEEFF"/>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 June 30, 2023</w:t>
            </w:r>
          </w:p>
        </w:tc>
        <w:tc>
          <w:tcPr>
            <w:tcW w:w="72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color w:val="auto"/>
              </w:rPr>
              <w:t>200</w:t>
            </w:r>
          </w:p>
        </w:tc>
        <w:tc>
          <w:tcPr>
            <w:tcW w:w="400" w:type="dxa"/>
            <w:vAlign w:val="bottom"/>
          </w:tcPr>
          <w:p>
            <w:pPr>
              <w:jc w:val="right"/>
              <w:ind w:right="27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5,062</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67,626</w:t>
            </w: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7</w:t>
            </w: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4"/>
                <w:szCs w:val="14"/>
                <w:color w:val="auto"/>
                <w:w w:val="97"/>
              </w:rPr>
              <w:t>(7)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(7,168)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107,047,023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(86,978,221)</w:t>
            </w:r>
          </w:p>
        </w:tc>
        <w:tc>
          <w:tcPr>
            <w:tcW w:w="140" w:type="dxa"/>
            <w:vAlign w:val="bottom"/>
            <w:gridSpan w:val="2"/>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20,061,642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31"/>
          </w:tcPr>
          <w:p>
            <w:pPr>
              <w:jc w:val="center"/>
              <w:ind w:right="820"/>
              <w:spacing w:after="0"/>
              <w:rPr>
                <w:sz w:val="20"/>
                <w:szCs w:val="20"/>
                <w:color w:val="auto"/>
              </w:rPr>
            </w:pPr>
            <w:r>
              <w:rPr>
                <w:rFonts w:ascii="Times New Roman" w:cs="Times New Roman" w:eastAsia="Times New Roman" w:hAnsi="Times New Roman"/>
                <w:sz w:val="14"/>
                <w:szCs w:val="14"/>
                <w:color w:val="auto"/>
                <w:w w:val="98"/>
              </w:rPr>
              <w:t>The accompanying notes are an integral part of these condensed consolidated financial statements.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37" w:right="31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860" w:type="dxa"/>
            <w:vAlign w:val="bottom"/>
            <w:gridSpan w:val="2"/>
          </w:tcPr>
          <w:p>
            <w:pPr>
              <w:jc w:val="center"/>
              <w:ind w:right="1235"/>
              <w:spacing w:after="0"/>
              <w:rPr>
                <w:sz w:val="20"/>
                <w:szCs w:val="20"/>
                <w:color w:val="auto"/>
              </w:rPr>
            </w:pPr>
            <w:r>
              <w:rPr>
                <w:rFonts w:ascii="Times New Roman" w:cs="Times New Roman" w:eastAsia="Times New Roman" w:hAnsi="Times New Roman"/>
                <w:sz w:val="14"/>
                <w:szCs w:val="14"/>
                <w:b w:val="1"/>
                <w:bCs w:val="1"/>
                <w:color w:val="auto"/>
                <w:w w:val="97"/>
              </w:rPr>
              <w:t>ZYVERSA THERAPEUTICS, INC.</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8200" w:type="dxa"/>
            <w:vAlign w:val="bottom"/>
            <w:gridSpan w:val="3"/>
          </w:tcPr>
          <w:p>
            <w:pPr>
              <w:jc w:val="center"/>
              <w:ind w:left="2991"/>
              <w:spacing w:after="0"/>
              <w:rPr>
                <w:sz w:val="20"/>
                <w:szCs w:val="20"/>
                <w:color w:val="auto"/>
              </w:rPr>
            </w:pPr>
            <w:r>
              <w:rPr>
                <w:rFonts w:ascii="Times New Roman" w:cs="Times New Roman" w:eastAsia="Times New Roman" w:hAnsi="Times New Roman"/>
                <w:sz w:val="14"/>
                <w:szCs w:val="14"/>
                <w:b w:val="1"/>
                <w:bCs w:val="1"/>
                <w:color w:val="auto"/>
                <w:w w:val="97"/>
              </w:rPr>
              <w:t>CONDENSED CONSOLIDATED STATEMENTS OF CASH FLOWS</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860" w:type="dxa"/>
            <w:vAlign w:val="bottom"/>
            <w:gridSpan w:val="2"/>
          </w:tcPr>
          <w:p>
            <w:pPr>
              <w:jc w:val="center"/>
              <w:ind w:right="1235"/>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860" w:type="dxa"/>
            <w:vAlign w:val="bottom"/>
            <w:gridSpan w:val="2"/>
          </w:tcPr>
          <w:p>
            <w:pPr>
              <w:jc w:val="right"/>
              <w:ind w:right="107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(5,590,480)</w:t>
            </w:r>
          </w:p>
        </w:tc>
        <w:tc>
          <w:tcPr>
            <w:tcW w:w="1160" w:type="dxa"/>
            <w:vAlign w:val="bottom"/>
          </w:tcPr>
          <w:p>
            <w:pPr>
              <w:jc w:val="right"/>
              <w:ind w:right="104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(82,057,043)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Impairment of in-process research and development</w:t>
            </w: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69,280,171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Impairment of goodwill</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11,895,033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384,237</w:t>
            </w:r>
          </w:p>
        </w:tc>
        <w:tc>
          <w:tcPr>
            <w:tcW w:w="1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653,203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 pursuant to vendor agreements</w:t>
            </w: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79,200</w:t>
            </w:r>
          </w:p>
        </w:tc>
        <w:tc>
          <w:tcPr>
            <w:tcW w:w="1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605,200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Shares issued as consideration for extension of lock-up period</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1,156,778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of fixed assets</w:t>
            </w: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5,200</w:t>
            </w:r>
          </w:p>
        </w:tc>
        <w:tc>
          <w:tcPr>
            <w:tcW w:w="1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Non-cash rent expense</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7,839</w:t>
            </w:r>
          </w:p>
        </w:tc>
        <w:tc>
          <w:tcPr>
            <w:tcW w:w="1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44,473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 provision (benefit)</w:t>
            </w: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9,707</w:t>
            </w:r>
          </w:p>
        </w:tc>
        <w:tc>
          <w:tcPr>
            <w:tcW w:w="1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(8,882,516)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(306,447)</w:t>
            </w:r>
          </w:p>
        </w:tc>
        <w:tc>
          <w:tcPr>
            <w:tcW w:w="1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(661,564)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Security deposit</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46,659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Vendor deposits</w:t>
            </w: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(80,000)</w:t>
            </w:r>
          </w:p>
        </w:tc>
        <w:tc>
          <w:tcPr>
            <w:tcW w:w="1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235,000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(115,077)</w:t>
            </w:r>
          </w:p>
        </w:tc>
        <w:tc>
          <w:tcPr>
            <w:tcW w:w="1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2,118,388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(8,656)</w:t>
            </w:r>
          </w:p>
        </w:tc>
        <w:tc>
          <w:tcPr>
            <w:tcW w:w="1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(76,211)</w:t>
            </w:r>
          </w:p>
        </w:tc>
        <w:tc>
          <w:tcPr>
            <w:tcW w:w="1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613,077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40" w:type="dxa"/>
            <w:vAlign w:val="bottom"/>
            <w:tcBorders>
              <w:top w:val="single" w:sz="8" w:color="CCEEFF"/>
              <w:bottom w:val="single" w:sz="8" w:color="CCEEFF"/>
            </w:tcBorders>
          </w:tcPr>
          <w:p>
            <w:pPr>
              <w:ind w:left="260"/>
              <w:spacing w:after="0" w:line="147"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660" w:type="dxa"/>
            <w:vAlign w:val="bottom"/>
            <w:tcBorders>
              <w:top w:val="single" w:sz="8" w:color="CCEEFF"/>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(5,690,688</w:t>
            </w:r>
          </w:p>
        </w:tc>
        <w:tc>
          <w:tcPr>
            <w:tcW w:w="340" w:type="dxa"/>
            <w:vAlign w:val="bottom"/>
            <w:tcBorders>
              <w:top w:val="single" w:sz="8" w:color="CCEEFF"/>
              <w:bottom w:val="single" w:sz="8" w:color="CCEEFF"/>
            </w:tcBorders>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1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(4,997,072</w:t>
            </w:r>
          </w:p>
        </w:tc>
        <w:tc>
          <w:tcPr>
            <w:tcW w:w="100" w:type="dxa"/>
            <w:vAlign w:val="bottom"/>
            <w:tcBorders>
              <w:top w:val="single" w:sz="8" w:color="CCEEFF"/>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 in public offering</w:t>
            </w: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11,015,500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Registration and issuance costs associated with common stock issuance</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(1,213,657)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of Series A Preferred Stock</w:t>
            </w: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(10,465,610)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warrants</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2,672,500</w:t>
            </w:r>
          </w:p>
        </w:tc>
        <w:tc>
          <w:tcPr>
            <w:tcW w:w="1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(7,168)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Registration and issuance costs associated with preferred stock issuance</w:t>
            </w:r>
          </w:p>
        </w:tc>
        <w:tc>
          <w:tcPr>
            <w:tcW w:w="26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26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2,672,500</w:t>
            </w:r>
          </w:p>
        </w:tc>
        <w:tc>
          <w:tcPr>
            <w:tcW w:w="1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(676,435)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Net Decrease in Cash</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(3,018,188)</w:t>
            </w:r>
          </w:p>
        </w:tc>
        <w:tc>
          <w:tcPr>
            <w:tcW w:w="1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(5,673,506)</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 Beginning of Period</w:t>
            </w:r>
          </w:p>
        </w:tc>
        <w:tc>
          <w:tcPr>
            <w:tcW w:w="26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3,137,674</w:t>
            </w:r>
          </w:p>
        </w:tc>
        <w:tc>
          <w:tcPr>
            <w:tcW w:w="1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5,902,199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34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 End of Period</w:t>
            </w:r>
          </w:p>
        </w:tc>
        <w:tc>
          <w:tcPr>
            <w:tcW w:w="3860" w:type="dxa"/>
            <w:vAlign w:val="bottom"/>
            <w:gridSpan w:val="2"/>
            <w:shd w:val="clear" w:color="auto" w:fill="CCEEFF"/>
          </w:tcPr>
          <w:p>
            <w:pPr>
              <w:jc w:val="right"/>
              <w:ind w:right="107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119,486</w:t>
            </w:r>
          </w:p>
        </w:tc>
        <w:tc>
          <w:tcPr>
            <w:tcW w:w="116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228,693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restart"/>
          </w:tcPr>
          <w:p>
            <w:pPr>
              <w:spacing w:after="0"/>
              <w:rPr>
                <w:sz w:val="11"/>
                <w:szCs w:val="11"/>
                <w:color w:val="auto"/>
              </w:rPr>
            </w:pPr>
          </w:p>
        </w:tc>
        <w:tc>
          <w:tcPr>
            <w:tcW w:w="43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6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Reclassification of formerly redeemable common stock</w:t>
            </w:r>
          </w:p>
        </w:tc>
        <w:tc>
          <w:tcPr>
            <w:tcW w:w="3860" w:type="dxa"/>
            <w:vAlign w:val="bottom"/>
            <w:gridSpan w:val="2"/>
          </w:tcPr>
          <w:p>
            <w:pPr>
              <w:jc w:val="right"/>
              <w:ind w:right="107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04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331,331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340" w:type="dxa"/>
            <w:vAlign w:val="bottom"/>
            <w:tcBorders>
              <w:top w:val="single" w:sz="8" w:color="CCEEFF"/>
              <w:bottom w:val="single" w:sz="8" w:color="CCEEFF"/>
            </w:tcBorders>
            <w:shd w:val="clear" w:color="auto" w:fill="CCEEFF"/>
          </w:tcPr>
          <w:p>
            <w:pPr>
              <w:ind w:left="260"/>
              <w:spacing w:after="0" w:line="137" w:lineRule="exact"/>
              <w:rPr>
                <w:sz w:val="20"/>
                <w:szCs w:val="20"/>
                <w:color w:val="auto"/>
              </w:rPr>
            </w:pPr>
            <w:r>
              <w:rPr>
                <w:rFonts w:ascii="Times New Roman" w:cs="Times New Roman" w:eastAsia="Times New Roman" w:hAnsi="Times New Roman"/>
                <w:sz w:val="14"/>
                <w:szCs w:val="14"/>
                <w:color w:val="auto"/>
              </w:rPr>
              <w:t>Accounts payable for deferred offering costs</w:t>
            </w:r>
          </w:p>
        </w:tc>
        <w:tc>
          <w:tcPr>
            <w:tcW w:w="2660" w:type="dxa"/>
            <w:vAlign w:val="bottom"/>
            <w:tcBorders>
              <w:top w:val="single" w:sz="8" w:color="CCEEFF"/>
              <w:bottom w:val="single" w:sz="8" w:color="CCEEFF"/>
            </w:tcBorders>
            <w:shd w:val="clear" w:color="auto" w:fill="CCEEFF"/>
          </w:tcPr>
          <w:p>
            <w:pPr>
              <w:spacing w:after="0"/>
              <w:rPr>
                <w:sz w:val="11"/>
                <w:szCs w:val="11"/>
                <w:color w:val="auto"/>
              </w:rPr>
            </w:pPr>
          </w:p>
        </w:tc>
        <w:tc>
          <w:tcPr>
            <w:tcW w:w="1200" w:type="dxa"/>
            <w:vAlign w:val="bottom"/>
            <w:tcBorders>
              <w:top w:val="single" w:sz="8" w:color="auto"/>
              <w:bottom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ind w:right="104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44,892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ZYVERSA THERAPEUTICS, INC.</w:t>
      </w:r>
    </w:p>
    <w:p>
      <w:pPr>
        <w:spacing w:after="0" w:line="17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Business Organization, Nature of Operations and Basis of Presentation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Operations</w:t>
      </w:r>
    </w:p>
    <w:p>
      <w:pPr>
        <w:spacing w:after="0" w:line="17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ZyVersa Therapeutics, Inc. (“ZyVersa” and the “Company”) is a clinical stage biopharmaceutical company leveraging proprietary technologies to develop first-in-class drugs for patients with chronic renal or inflammatory diseases with high unmet medical needs. The Company’s mission is to develop drugs that optimize health outcomes and improve patients’ quality of life.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accounting principles generally accepted in the United States of America (“GAAP”) for interim financial information. Accordingly, they do not include all of the information and disclosures required by accounting principles generally accepted in the United States of America for annual financial statements. In the opinion of management, such statements include all adjustments (consisting only of normal recurring items) which are considered necessary for a fair presentation of the unaudited condensed consolidated financial statements of the Company as of June 30, 2024 and for the three and six months ended June 30, 2024 and 2023. The results of operations for the six months ended June 30, 2024 are not necessarily indicative of the operating results for the full year. It is suggested that these unaudited condensed consolidated financial statements be read in conjunction with the consolidated financial statements and notes thereto included in the Company’s annual report on Form 10-K for the year ended December 31, 2023, filed with the Securities and Exchange Commission (“SEC”) on March 25, 2024 and as amended on May 15, 2024.</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December 4, 2023, the Company effected a reverse stock split of its common stock at a ratio of 1-for-35 (the “2023 Reverse Split”). Upon the effectiveness of the 2023 Reverse Split, every 35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2023 Reverse Split.</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April 25, 2024, the Company effected a reverse stock split of its common stock at a ratio of 1-for-10 (the “2024 Reverse Split”). Upon the effectiveness of the 2024 Reverse Split, every 10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2024 Reverse Split.</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Accordingly, all share and per share amounts for all periods presented in these financial statements and notes thereto have been adjusted retroactively, where applicable, to reflect the 2023 Reverse Split and the 2024 Reverse Split and adjustment of the conversion price or exercise price of each outstanding equity award, convertible security and warrant as if the transaction had occurred as of the beginning of the earliest period presented. See Note 7 – Stockholders’ Permanent and Temporary Equity – Reverse Stock Split.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ZYVERSA THERAPEUTICS, INC.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Going Concern and Management’s Plans</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relating to the recoverability and classification of asset amounts or the classification of liabilities that might be necessary should the Company be unable to continue as a going concern.</w:t>
      </w:r>
    </w:p>
    <w:p>
      <w:pPr>
        <w:spacing w:after="0" w:line="13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3"/>
          <w:szCs w:val="13"/>
          <w:color w:val="auto"/>
        </w:rPr>
        <w:t>As of June 30, 2024, the Company had cash of approximately $0.1 million and a working capital deficit of approximately $9.3 million. During the six months ended June 30, 2024, the Company incurred a net loss of approximately $5.6 million and used cash in operations of approximately $5.7 million. The Company has an accumulated deficit of approximately $108.8 million as of June 30, 2024.</w:t>
      </w:r>
    </w:p>
    <w:p>
      <w:pPr>
        <w:spacing w:after="0" w:line="1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Company has not yet achieved profitability and expects to continue to incur cash outflows from operations. It is expected that its research and development and general and administrative expenses will continue to increase and, as a result, the Company will eventually need to generate significant product revenues to achieve profitability.</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Consequently, the Company will be required to raise additional funds through equity or debt financing. On August 1, 2024, the Company received approximately $0.8 million upon the exercise of warrants. See Note 8 – Subsequent Events – Stock Warrants for additional details. Management believes that the Company has access to capital resources and continues to evaluate additional financing opportunities; however, there can be no assurance that it will be successful in securing additional capital or that the Company will be able to obtain funds on commercially acceptable terms, if at all. There is also no assurance that the amount of funds the Company might raise will enable the Company to complete its development initiatives or attain profitable operations. The aforementioned conditions raise substantial doubt about the Company’s ability to continue as a going concern for at least one year from the issuance date of these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Summary of Significant Accounting Policies</w:t>
      </w:r>
    </w:p>
    <w:p>
      <w:pPr>
        <w:spacing w:after="0" w:line="17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Since the date the Company’s December 31, 2023 financial statements were issued in its 2023 Annual Report on Form 10-K, there have been no material changes to the Company’s significant accounting policies.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derivative liabilities, share based compensation and acquired intangible assets,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ZYVERSA THERAPEUTICS, INC.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Common Share</w:t>
      </w:r>
    </w:p>
    <w:p>
      <w:pPr>
        <w:spacing w:after="0" w:line="17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Basic net loss per common share is computed by dividing net loss by the weighted average number of vested common shares outstanding during the period. Diluted net income per common share is computed by dividing net income by the weighted average number of common and dilutive common-equivalent shares outstanding during each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outstanding potentially dilutive securities that have been excluded from the calculation of diluted net loss per share because to do so would be anti-dilutive:</w:t>
      </w:r>
    </w:p>
    <w:p>
      <w:pPr>
        <w:spacing w:after="0" w:line="17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30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CCEEFF"/>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86"/>
        </w:trPr>
        <w:tc>
          <w:tcPr>
            <w:tcW w:w="63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3"/>
                <w:szCs w:val="13"/>
                <w:color w:val="auto"/>
              </w:rPr>
              <w:t xml:space="preserve">Warrants </w:t>
            </w:r>
            <w:r>
              <w:rPr>
                <w:rFonts w:ascii="Times New Roman" w:cs="Times New Roman" w:eastAsia="Times New Roman" w:hAnsi="Times New Roman"/>
                <w:sz w:val="21"/>
                <w:szCs w:val="21"/>
                <w:color w:val="auto"/>
                <w:vertAlign w:val="superscript"/>
              </w:rPr>
              <w:t>[1]</w:t>
            </w:r>
          </w:p>
        </w:tc>
        <w:tc>
          <w:tcPr>
            <w:tcW w:w="1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689,293</w:t>
            </w:r>
          </w:p>
        </w:tc>
        <w:tc>
          <w:tcPr>
            <w:tcW w:w="3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67,835</w:t>
            </w:r>
          </w:p>
        </w:tc>
      </w:tr>
      <w:tr>
        <w:trPr>
          <w:trHeight w:val="166"/>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9,671</w:t>
            </w:r>
          </w:p>
        </w:tc>
        <w:tc>
          <w:tcPr>
            <w:tcW w:w="300" w:type="dxa"/>
            <w:vAlign w:val="bottom"/>
          </w:tcPr>
          <w:p>
            <w:pPr>
              <w:spacing w:after="0"/>
              <w:rPr>
                <w:sz w:val="14"/>
                <w:szCs w:val="14"/>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10,243</w:t>
            </w:r>
          </w:p>
        </w:tc>
      </w:tr>
      <w:tr>
        <w:trPr>
          <w:trHeight w:val="16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A Convertible Preferred Stock</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30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286</w:t>
            </w:r>
          </w:p>
        </w:tc>
      </w:tr>
      <w:tr>
        <w:trPr>
          <w:trHeight w:val="177"/>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B Convertible Preferred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300" w:type="dxa"/>
            <w:vAlign w:val="bottom"/>
          </w:tcPr>
          <w:p>
            <w:pPr>
              <w:spacing w:after="0"/>
              <w:rPr>
                <w:sz w:val="15"/>
                <w:szCs w:val="15"/>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2,067</w:t>
            </w:r>
          </w:p>
        </w:tc>
      </w:tr>
      <w:tr>
        <w:trPr>
          <w:trHeight w:val="176"/>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potentially dilutive shares</w:t>
            </w:r>
          </w:p>
        </w:tc>
        <w:tc>
          <w:tcPr>
            <w:tcW w:w="114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701,103</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6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ind w:left="280" w:hanging="231"/>
        <w:spacing w:after="0" w:line="276" w:lineRule="auto"/>
        <w:tabs>
          <w:tab w:leader="none" w:pos="2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InflamaCORE, LLC license agreement, warrants to purchase 342 shares of common stock are to be issued upon the satisfaction of certain milestones and, accordingly, are not included in the amount currently reported.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Reporting</w:t>
      </w:r>
    </w:p>
    <w:p>
      <w:pPr>
        <w:spacing w:after="0" w:line="17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The Company operates and manages its business as one reportable and operating segment. All assets and operations are in the U.S. The Company’s Chief Executive Officer, who is the chief operating decision maker, reviews financial information on an aggregate basis for purposes of allocating resources and evaluating financial performance.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7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Certain prior period balances have been reclassified from security deposits to vendor deposits on the condensed consolidated balance sheet in order to conform to the current year presentation. These reclassifications had no effect on previously reported results of operations or loss per share.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ZYVERSA THERAPEUTICS, INC.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Accrued Expenses and Other Current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as of June 30, 2024 and December 31,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L&amp;F milestone payment liability</w:t>
            </w:r>
          </w:p>
        </w:tc>
        <w:tc>
          <w:tcPr>
            <w:tcW w:w="1280" w:type="dxa"/>
            <w:vAlign w:val="bottom"/>
            <w:gridSpan w:val="3"/>
            <w:shd w:val="clear" w:color="auto" w:fill="CCEEFF"/>
          </w:tcPr>
          <w:p>
            <w:pPr>
              <w:jc w:val="right"/>
              <w:ind w:right="99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Payroll accrual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731,717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668,803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accrued expenses</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21,969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41,969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Bonus accrual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917,375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536,500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14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4"/>
                <w:szCs w:val="14"/>
                <w:color w:val="auto"/>
              </w:rPr>
              <w:t xml:space="preserve">Registration delay liability </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7,261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140" w:type="dxa"/>
            <w:vAlign w:val="bottom"/>
            <w:tcBorders>
              <w:top w:val="single" w:sz="8" w:color="CCEEFF"/>
            </w:tcBorders>
            <w:gridSpan w:val="2"/>
          </w:tcPr>
          <w:p>
            <w:pPr>
              <w:spacing w:after="0" w:line="157" w:lineRule="exact"/>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99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1,678,322</w:t>
            </w:r>
          </w:p>
        </w:tc>
        <w:tc>
          <w:tcPr>
            <w:tcW w:w="1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1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1,754,533</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[1] See Note 7 - Stockholders’ Permanent and Temporary Equity for details of the registration delay liability.</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6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5 – Income Taxes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Income tax expense and the effective tax rate were as follows: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60" w:type="dxa"/>
            <w:vAlign w:val="bottom"/>
            <w:gridSpan w:val="10"/>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5"/>
                <w:szCs w:val="15"/>
                <w:color w:val="auto"/>
              </w:rPr>
            </w:pPr>
          </w:p>
        </w:tc>
        <w:tc>
          <w:tcPr>
            <w:tcW w:w="118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280" w:type="dxa"/>
            <w:vAlign w:val="bottom"/>
            <w:gridSpan w:val="3"/>
            <w:shd w:val="clear" w:color="auto" w:fill="CCEEFF"/>
          </w:tcPr>
          <w:p>
            <w:pPr>
              <w:jc w:val="right"/>
              <w:ind w:right="105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(9,707)</w:t>
            </w:r>
          </w:p>
        </w:tc>
        <w:tc>
          <w:tcPr>
            <w:tcW w:w="18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8,859,277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Effective tax rate</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tax provisions for the six months ended June 30, 2024 and 2023 were computed using the estimated effective tax rates applicable to the taxable jurisdictions for the full year. The Company’s tax rate is subject to management’s quarterly review and revision, as necessary. The Company’s effective tax rate was (0.17)% and 9.7% for the six months ended June 30, 2024 and 2023. The decrease in the quarterly rates is primarily the result of the Company recording a full valuation allowance during the six months ended June 30, 2024 due to the reversal of a significant deferred tax liability that existed as of June 30,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Commitments and Contingencies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Litigations, Claims and Assessments</w:t>
      </w:r>
    </w:p>
    <w:p>
      <w:pPr>
        <w:spacing w:after="0" w:line="17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In the normal course of business, the Company may be involved in legal proceedings, claims and assessments arising in the ordinary course of business. The Company records contingent liabilities resulting from such claims, if any, when a loss is assessed to be probable and the amount of the loss is reasonably estimable.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ZYVERSA THERAPEUTICS, INC.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Disputed Vendor Invoices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June 30, 2024 and July 1, 2024, the Company received two invoices from a vendor in the amounts of $992,176 and $162,800, respectively. The June 30, 2024 invoice represents retroactive interest on invoices going back to September 30, 2022. The July 1, 2024 invoice consisted of miscellaneous unsupported charges performed over the past several years. On August 1, 2024, ZyVersa management sent the vendor a letter disputing these invoices and has requested the vendor to rescind each of them. Given that the invoices are being disputed, the Company has not accrued for these invoices as of June 30,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L&amp;F Research LLC</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entered into a License Agreement with L&amp;F Research LLC (“L&amp;F Research”) effective December 15, 2015, as amended (the “L&amp;F License Agreement”) pursuant to which L&amp;F granted the Company an exclusive royalty-bearing, worldwide, sublicensable license under the patent and intellectual property rights and know-how specific to and for the development and commercialization of VAR 200, for the treatment, inhibition or prevention of kidney disease in humans and symptoms thereof, including focal segmental glomerulosclerosis.</w:t>
      </w:r>
    </w:p>
    <w:p>
      <w:pPr>
        <w:spacing w:after="0" w:line="1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On February 28, 2023, the Company and L&amp;F executed an Amendment and Restatement Agreement that waived L&amp;F’s right to terminate the L&amp;F License Agreement or any other remedies, for non-payment of the First Milestone Payment, until (a) March 31, 2023 as to $1,000,000 of such milestone payments (“Waiver A”) and (b) January 31, 2024 as to $500,000 milestone payments (“Waiver B”). Waiver A was contingent upon (i) forgiveness by the Company of $351,579 in aggregate principal amount outstanding under a certain convertible note, and (ii) a cash payment by the Company to L&amp;F in the amount of $648,421, on or before March 31, 2023. Waiver B was contingent upon a cash payment by the Company to L&amp;F in the amount of $500,000 on or before the earlier of (x) January 31, 2024, and (y) ten business days from the date that the Company received net proceeds of at least $30,000,000 from the issuance of new equity capital. All other terms of the L&amp;F License remain in effect.</w:t>
      </w:r>
    </w:p>
    <w:p>
      <w:pPr>
        <w:spacing w:after="0" w:line="1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On March 29, 2023, the Company paid the $648,421 of cash to L&amp;F, thus meeting the conditions of Waiver A, which also had the effect of canceling the Note Receivable and the Put Option and resulted in a reclassification of 188 shares of common stock and $331,331 classified as temporary equity to permanent equity.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30, 2024, the Company paid $500,000 of cash to L&amp;F, thus meeting the conditions of Waiver B.</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January 18, 2019, the Company entered into a lease agreement for approximately 3,500 square feet of office space in Weston, Florida for a term of five years. Under the lease agreement, the annual base rent, which excludes the Company’s share of taxes and operating costs, was approximately $89,000 for the first year and increases approximately 3% every year thereafter for a total base rent lease commitment of approximately $497,000. On January 15, 2024, the Company extended the lease for an additional year for a total base rent lease commitment of $112,064. The Company used the short-term lease practical expedient which permits the Company to not capitalize leases with a term equal to or less than 12 months.</w:t>
      </w:r>
    </w:p>
    <w:p>
      <w:pPr>
        <w:spacing w:after="0" w:line="14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Company recognized right-of-use asset amortization of $0 and $7,839 in connection with its operating lease for the three and six months ending June 30, 2024 and the Company recognized rent expense of $43,271 and $84,743 in connection with its operating lease for the three and six months ending June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recognized right-of-use amortization of $38,783 and $77,198 in connection with its operating lease for the three and six months ending June 30, 2023, respectively.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4240" w:type="dxa"/>
            <w:vAlign w:val="bottom"/>
            <w:gridSpan w:val="2"/>
          </w:tcPr>
          <w:p>
            <w:pPr>
              <w:jc w:val="right"/>
              <w:ind w:right="1431"/>
              <w:spacing w:after="0"/>
              <w:rPr>
                <w:sz w:val="20"/>
                <w:szCs w:val="20"/>
                <w:color w:val="auto"/>
              </w:rPr>
            </w:pPr>
            <w:r>
              <w:rPr>
                <w:rFonts w:ascii="Times New Roman" w:cs="Times New Roman" w:eastAsia="Times New Roman" w:hAnsi="Times New Roman"/>
                <w:sz w:val="14"/>
                <w:szCs w:val="14"/>
                <w:b w:val="1"/>
                <w:bCs w:val="1"/>
                <w:color w:val="auto"/>
              </w:rPr>
              <w:t>ZYVERSA THERAPEUTICS, INC.</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240" w:type="dxa"/>
            <w:vAlign w:val="bottom"/>
            <w:gridSpan w:val="2"/>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w w:val="99"/>
              </w:rPr>
              <w:t>Notes to Condensed Consolidated Financial Statements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 summary of the Company’s right-of-use assets and liabilities is as follows: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rPr>
              <w:t>Cash paid for amounts included in the measurement of lease liabilities:</w:t>
            </w:r>
          </w:p>
        </w:tc>
        <w:tc>
          <w:tcPr>
            <w:tcW w:w="3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cash flows used in operating activities</w:t>
            </w:r>
          </w:p>
        </w:tc>
        <w:tc>
          <w:tcPr>
            <w:tcW w:w="4240" w:type="dxa"/>
            <w:vAlign w:val="bottom"/>
            <w:gridSpan w:val="2"/>
          </w:tcPr>
          <w:p>
            <w:pPr>
              <w:jc w:val="right"/>
              <w:ind w:right="10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8,656</w:t>
            </w:r>
          </w:p>
        </w:tc>
        <w:tc>
          <w:tcPr>
            <w:tcW w:w="8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49,130</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3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4240" w:type="dxa"/>
            <w:vAlign w:val="bottom"/>
            <w:gridSpan w:val="2"/>
            <w:shd w:val="clear" w:color="auto" w:fill="CCEEFF"/>
          </w:tcPr>
          <w:p>
            <w:pPr>
              <w:jc w:val="right"/>
              <w:ind w:right="10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3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3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0.59 Years</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3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3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Stockholders’ Permanent and Temporary Equity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Reverse Stock Split</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April 25, 2024, the Company effected the 2024 Reverse Split. Upon the effectiveness of the 2024 Reverse Split, every 10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2024 Reverse Split. See Note 1 – Business Organization, Nature of Operations and Basis of Presentation for additional details.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7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During the six months ended June 30, 2024, the Company entered into a marketing agreement with a vendor in which the Company issued an aggregate of 9,000 shares of common stock and cash in exchange for marketing services. The $79,200 fair value of the common stock was established as a prepaid expense and the Company will recognize the expense over the terms of the contracts.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Temporary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6 – Commitments and Contingencies for discussion of the movement of temporary equity to permanent equity on March 29,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7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3"/>
          <w:szCs w:val="13"/>
          <w:color w:val="auto"/>
        </w:rPr>
        <w:t>For the three months ended June 30, 2024 the Company recorded stock-based compensation expense of $160,664 (of which, $15,447 was included in research and development and $145,217 was included in general and administrative expense) related to options issued to employees and consultants. For the three months ended June 30, 2023 the Company recorded stock-based compensation expense of $365,742 (of which, $109,066 was included in research and development and $256,676 was included in general and administrative expense) related to options issued to employees and consultants.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ZYVERSA THERAPEUTICS, INC.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For the six months ended June 30, 2024 the Company recorded stock-based compensation expense of $384,237 (of which, $30,895 was included in research and development and $353,342 was included in general and administrative expense) related to options issued to employees and consultants. For the six months ended June 30, 2023 the Company recorded stock-based compensation expense of $653,203 (of which, $158,521 was included in research and development and $494,682 was included in general and administrative expense) related to options issued to employees and consultants. As of June 30, 2024 there was $643,224 of unrecognized stock-based compensation expense, which the Company expects to recognize over a weighted average period of 1.4 years.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grant date fair value of stock options granted during the six months ended June 30, 2024 and 2023 was determined using the Black Scholes method, with the following assumptions used: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6"/>
          </w:tcPr>
          <w:p>
            <w:pPr>
              <w:jc w:val="center"/>
              <w:ind w:left="531"/>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gridSpan w:val="9"/>
          </w:tcPr>
          <w:p>
            <w:pPr>
              <w:ind w:left="7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right="6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5"/>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common stock on date of grant</w:t>
            </w:r>
          </w:p>
        </w:tc>
        <w:tc>
          <w:tcPr>
            <w:tcW w:w="1320" w:type="dxa"/>
            <w:vAlign w:val="bottom"/>
            <w:tcBorders>
              <w:top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0.44 - $2.23</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free interest rate</w:t>
            </w:r>
          </w:p>
        </w:tc>
        <w:tc>
          <w:tcPr>
            <w:tcW w:w="13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tcPr>
          <w:p>
            <w:pPr>
              <w:spacing w:after="0"/>
              <w:rPr>
                <w:sz w:val="14"/>
                <w:szCs w:val="1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3.53% - 4.27%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13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3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4"/>
                <w:szCs w:val="1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120% - 123%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13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5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 summary of the option activity for the six months ended June 30, 2024 is presented below:</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left="291"/>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January 1, 2024</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10,243</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2,218.51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Expired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1,760.50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June 30, 2024</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2,245.60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restart"/>
          </w:tcPr>
          <w:p>
            <w:pPr>
              <w:spacing w:after="0"/>
              <w:rPr>
                <w:sz w:val="11"/>
                <w:szCs w:val="11"/>
                <w:color w:val="auto"/>
              </w:rPr>
            </w:pPr>
          </w:p>
        </w:tc>
        <w:tc>
          <w:tcPr>
            <w:tcW w:w="4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June 30,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6,823</w:t>
            </w:r>
          </w:p>
        </w:tc>
        <w:tc>
          <w:tcPr>
            <w:tcW w:w="8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2,979.56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5.9</w:t>
            </w:r>
          </w:p>
        </w:tc>
        <w:tc>
          <w:tcPr>
            <w:tcW w:w="440" w:type="dxa"/>
            <w:vAlign w:val="bottom"/>
            <w:gridSpan w:val="3"/>
            <w:shd w:val="clear" w:color="auto" w:fill="CCEEFF"/>
          </w:tcPr>
          <w:p>
            <w:pPr>
              <w:jc w:val="right"/>
              <w:ind w:right="143"/>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37" w:right="3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ZYVERSA THERAPEUTICS, INC.</w:t>
            </w: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31"/>
        </w:trPr>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0" w:type="dxa"/>
            <w:vAlign w:val="bottom"/>
            <w:gridSpan w:val="6"/>
          </w:tcPr>
          <w:p>
            <w:pPr>
              <w:ind w:left="106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1"/>
        </w:trPr>
        <w:tc>
          <w:tcPr>
            <w:tcW w:w="50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presents information related to stock options as of June 30, 2024:</w:t>
            </w: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2"/>
        </w:trPr>
        <w:tc>
          <w:tcPr>
            <w:tcW w:w="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gridSpan w:val="3"/>
          </w:tcPr>
          <w:p>
            <w:pPr>
              <w:jc w:val="center"/>
              <w:ind w:right="10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6"/>
        </w:trPr>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6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54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r>
      <w:tr>
        <w:trPr>
          <w:trHeight w:val="176"/>
        </w:trPr>
        <w:tc>
          <w:tcPr>
            <w:tcW w:w="440" w:type="dxa"/>
            <w:vAlign w:val="bottom"/>
          </w:tcPr>
          <w:p>
            <w:pPr>
              <w:spacing w:after="0"/>
              <w:rPr>
                <w:sz w:val="15"/>
                <w:szCs w:val="15"/>
                <w:color w:val="auto"/>
              </w:rPr>
            </w:pPr>
          </w:p>
        </w:tc>
        <w:tc>
          <w:tcPr>
            <w:tcW w:w="25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06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54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w w:val="98"/>
              </w:rPr>
              <w:t>Remaining Life</w:t>
            </w:r>
          </w:p>
        </w:tc>
        <w:tc>
          <w:tcPr>
            <w:tcW w:w="14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183"/>
        </w:trPr>
        <w:tc>
          <w:tcPr>
            <w:tcW w:w="440" w:type="dxa"/>
            <w:vAlign w:val="bottom"/>
          </w:tcPr>
          <w:p>
            <w:pPr>
              <w:spacing w:after="0"/>
              <w:rPr>
                <w:sz w:val="15"/>
                <w:szCs w:val="15"/>
                <w:color w:val="auto"/>
              </w:rPr>
            </w:pPr>
          </w:p>
        </w:tc>
        <w:tc>
          <w:tcPr>
            <w:tcW w:w="25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06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54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14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166"/>
        </w:trPr>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152.50</w:t>
            </w:r>
          </w:p>
        </w:tc>
        <w:tc>
          <w:tcPr>
            <w:tcW w:w="2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738.50</w:t>
            </w:r>
          </w:p>
        </w:tc>
        <w:tc>
          <w:tcPr>
            <w:tcW w:w="600" w:type="dxa"/>
            <w:vAlign w:val="bottom"/>
          </w:tcPr>
          <w:p>
            <w:pPr>
              <w:spacing w:after="0"/>
              <w:rPr>
                <w:sz w:val="14"/>
                <w:szCs w:val="14"/>
                <w:color w:val="auto"/>
              </w:rPr>
            </w:pPr>
          </w:p>
        </w:tc>
        <w:tc>
          <w:tcPr>
            <w:tcW w:w="176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286</w:t>
            </w:r>
          </w:p>
        </w:tc>
        <w:tc>
          <w:tcPr>
            <w:tcW w:w="300" w:type="dxa"/>
            <w:vAlign w:val="bottom"/>
          </w:tcPr>
          <w:p>
            <w:pPr>
              <w:spacing w:after="0"/>
              <w:rPr>
                <w:sz w:val="14"/>
                <w:szCs w:val="14"/>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8.6</w:t>
            </w:r>
          </w:p>
        </w:tc>
        <w:tc>
          <w:tcPr>
            <w:tcW w:w="60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791.00</w:t>
            </w:r>
          </w:p>
        </w:tc>
        <w:tc>
          <w:tcPr>
            <w:tcW w:w="6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8.7</w:t>
            </w:r>
          </w:p>
        </w:tc>
        <w:tc>
          <w:tcPr>
            <w:tcW w:w="6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4"/>
                <w:szCs w:val="14"/>
                <w:color w:val="auto"/>
              </w:rPr>
            </w:pPr>
          </w:p>
        </w:tc>
      </w:tr>
      <w:tr>
        <w:trPr>
          <w:trHeight w:val="16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1,760.50</w:t>
            </w:r>
          </w:p>
        </w:tc>
        <w:tc>
          <w:tcPr>
            <w:tcW w:w="600" w:type="dxa"/>
            <w:vAlign w:val="bottom"/>
          </w:tcPr>
          <w:p>
            <w:pPr>
              <w:spacing w:after="0"/>
              <w:rPr>
                <w:sz w:val="14"/>
                <w:szCs w:val="14"/>
                <w:color w:val="auto"/>
              </w:rPr>
            </w:pPr>
          </w:p>
        </w:tc>
        <w:tc>
          <w:tcPr>
            <w:tcW w:w="176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1,338</w:t>
            </w:r>
          </w:p>
        </w:tc>
        <w:tc>
          <w:tcPr>
            <w:tcW w:w="300" w:type="dxa"/>
            <w:vAlign w:val="bottom"/>
          </w:tcPr>
          <w:p>
            <w:pPr>
              <w:spacing w:after="0"/>
              <w:rPr>
                <w:sz w:val="14"/>
                <w:szCs w:val="14"/>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1,338</w:t>
            </w:r>
          </w:p>
        </w:tc>
        <w:tc>
          <w:tcPr>
            <w:tcW w:w="6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3,965.50</w:t>
            </w:r>
          </w:p>
        </w:tc>
        <w:tc>
          <w:tcPr>
            <w:tcW w:w="60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37</w:t>
            </w:r>
          </w:p>
        </w:tc>
        <w:tc>
          <w:tcPr>
            <w:tcW w:w="3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8.0</w:t>
            </w:r>
          </w:p>
        </w:tc>
        <w:tc>
          <w:tcPr>
            <w:tcW w:w="6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CCEEFF"/>
          </w:tcPr>
          <w:p>
            <w:pPr>
              <w:spacing w:after="0"/>
              <w:rPr>
                <w:sz w:val="14"/>
                <w:szCs w:val="14"/>
                <w:color w:val="auto"/>
              </w:rPr>
            </w:pPr>
          </w:p>
        </w:tc>
      </w:tr>
      <w:tr>
        <w:trPr>
          <w:trHeight w:val="16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4,053.00</w:t>
            </w:r>
          </w:p>
        </w:tc>
        <w:tc>
          <w:tcPr>
            <w:tcW w:w="600" w:type="dxa"/>
            <w:vAlign w:val="bottom"/>
          </w:tcPr>
          <w:p>
            <w:pPr>
              <w:spacing w:after="0"/>
              <w:rPr>
                <w:sz w:val="14"/>
                <w:szCs w:val="14"/>
                <w:color w:val="auto"/>
              </w:rPr>
            </w:pPr>
          </w:p>
        </w:tc>
        <w:tc>
          <w:tcPr>
            <w:tcW w:w="176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2,095</w:t>
            </w:r>
          </w:p>
        </w:tc>
        <w:tc>
          <w:tcPr>
            <w:tcW w:w="300" w:type="dxa"/>
            <w:vAlign w:val="bottom"/>
          </w:tcPr>
          <w:p>
            <w:pPr>
              <w:spacing w:after="0"/>
              <w:rPr>
                <w:sz w:val="14"/>
                <w:szCs w:val="14"/>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4.8</w:t>
            </w:r>
          </w:p>
        </w:tc>
        <w:tc>
          <w:tcPr>
            <w:tcW w:w="60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2,095</w:t>
            </w:r>
          </w:p>
        </w:tc>
        <w:tc>
          <w:tcPr>
            <w:tcW w:w="60" w:type="dxa"/>
            <w:vAlign w:val="bottom"/>
          </w:tcPr>
          <w:p>
            <w:pPr>
              <w:spacing w:after="0"/>
              <w:rPr>
                <w:sz w:val="14"/>
                <w:szCs w:val="14"/>
                <w:color w:val="auto"/>
              </w:rPr>
            </w:pPr>
          </w:p>
        </w:tc>
      </w:tr>
      <w:tr>
        <w:trPr>
          <w:trHeight w:val="19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5,726.00</w:t>
            </w:r>
          </w:p>
        </w:tc>
        <w:tc>
          <w:tcPr>
            <w:tcW w:w="6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1,720</w:t>
            </w:r>
          </w:p>
        </w:tc>
        <w:tc>
          <w:tcPr>
            <w:tcW w:w="3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6.9</w:t>
            </w:r>
          </w:p>
        </w:tc>
        <w:tc>
          <w:tcPr>
            <w:tcW w:w="6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1,572</w:t>
            </w:r>
          </w:p>
        </w:tc>
        <w:tc>
          <w:tcPr>
            <w:tcW w:w="60" w:type="dxa"/>
            <w:vAlign w:val="bottom"/>
            <w:shd w:val="clear" w:color="auto" w:fill="CCEEFF"/>
          </w:tcPr>
          <w:p>
            <w:pPr>
              <w:spacing w:after="0"/>
              <w:rPr>
                <w:sz w:val="17"/>
                <w:szCs w:val="17"/>
                <w:color w:val="auto"/>
              </w:rPr>
            </w:pPr>
          </w:p>
        </w:tc>
      </w:tr>
      <w:tr>
        <w:trPr>
          <w:trHeight w:val="157"/>
        </w:trPr>
        <w:tc>
          <w:tcPr>
            <w:tcW w:w="440" w:type="dxa"/>
            <w:vAlign w:val="bottom"/>
            <w:tcBorders>
              <w:top w:val="single" w:sz="8" w:color="CCEEFF"/>
            </w:tcBorders>
          </w:tcPr>
          <w:p>
            <w:pPr>
              <w:spacing w:after="0"/>
              <w:rPr>
                <w:sz w:val="13"/>
                <w:szCs w:val="13"/>
                <w:color w:val="auto"/>
              </w:rPr>
            </w:pPr>
          </w:p>
        </w:tc>
        <w:tc>
          <w:tcPr>
            <w:tcW w:w="164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9,671</w:t>
            </w:r>
          </w:p>
        </w:tc>
        <w:tc>
          <w:tcPr>
            <w:tcW w:w="28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940" w:type="dxa"/>
            <w:vAlign w:val="bottom"/>
            <w:tcBorders>
              <w:top w:val="single" w:sz="8" w:color="CCEEFF"/>
            </w:tcBorders>
            <w:gridSpan w:val="2"/>
          </w:tcPr>
          <w:p>
            <w:pPr>
              <w:jc w:val="right"/>
              <w:ind w:right="240"/>
              <w:spacing w:after="0" w:line="157" w:lineRule="exact"/>
              <w:rPr>
                <w:sz w:val="20"/>
                <w:szCs w:val="20"/>
                <w:color w:val="auto"/>
              </w:rPr>
            </w:pPr>
            <w:r>
              <w:rPr>
                <w:rFonts w:ascii="Times New Roman" w:cs="Times New Roman" w:eastAsia="Times New Roman" w:hAnsi="Times New Roman"/>
                <w:sz w:val="14"/>
                <w:szCs w:val="14"/>
                <w:color w:val="auto"/>
              </w:rPr>
              <w:t>5.9</w:t>
            </w:r>
          </w:p>
        </w:tc>
        <w:tc>
          <w:tcPr>
            <w:tcW w:w="6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6,823</w:t>
            </w:r>
          </w:p>
        </w:tc>
        <w:tc>
          <w:tcPr>
            <w:tcW w:w="20" w:type="dxa"/>
            <w:vAlign w:val="bottom"/>
            <w:tcBorders>
              <w:top w:val="single" w:sz="8" w:color="CCEEFF"/>
              <w:bottom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r>
      <w:tr>
        <w:trPr>
          <w:trHeight w:val="20"/>
        </w:trPr>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Warrants</w:t>
      </w:r>
    </w:p>
    <w:p>
      <w:pPr>
        <w:spacing w:after="0" w:line="17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Between February 26, 2024 and March 6, 2024, investors in the December 2023 Offering exercised warrants to purchase 213,800 shares of common stock at an exercise price of $12.50 per share for total proceeds of $2,672,500.</w:t>
      </w:r>
    </w:p>
    <w:p>
      <w:pPr>
        <w:spacing w:after="0" w:line="12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Between January 17 and February 23, 2024, a December 2023 Offering investor exercised pre-funded warrants to purchase 131,500 shares of common stock on a cashless basis to purchase 131,481 shares of common stock at an exercise price of $0.001 per share.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warrant activity for the six months ended June 30, 2024, is presented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8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60" w:type="dxa"/>
            <w:vAlign w:val="bottom"/>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 xml:space="preserve">Outstanding, January 1, 2024 </w:t>
            </w:r>
            <w:r>
              <w:rPr>
                <w:rFonts w:ascii="Times New Roman" w:cs="Times New Roman" w:eastAsia="Times New Roman" w:hAnsi="Times New Roman"/>
                <w:sz w:val="22"/>
                <w:szCs w:val="22"/>
                <w:color w:val="auto"/>
                <w:vertAlign w:val="superscript"/>
              </w:rPr>
              <w:t>[1]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903,320</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123.44</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4,053.00</w:t>
            </w: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ind w:left="120"/>
              <w:spacing w:after="0" w:line="207" w:lineRule="exact"/>
              <w:rPr>
                <w:sz w:val="20"/>
                <w:szCs w:val="20"/>
                <w:color w:val="auto"/>
              </w:rPr>
            </w:pPr>
            <w:r>
              <w:rPr>
                <w:rFonts w:ascii="Times New Roman" w:cs="Times New Roman" w:eastAsia="Times New Roman" w:hAnsi="Times New Roman"/>
                <w:sz w:val="14"/>
                <w:szCs w:val="14"/>
                <w:color w:val="auto"/>
              </w:rPr>
              <w:t xml:space="preserve">Exercised </w:t>
            </w:r>
            <w:r>
              <w:rPr>
                <w:rFonts w:ascii="Times New Roman" w:cs="Times New Roman" w:eastAsia="Times New Roman" w:hAnsi="Times New Roman"/>
                <w:sz w:val="22"/>
                <w:szCs w:val="22"/>
                <w:color w:val="auto"/>
                <w:vertAlign w:val="superscript"/>
              </w:rPr>
              <w:t>[2]</w:t>
            </w: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(213,800)</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June 30, 2024</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689,293</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156.64</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restart"/>
          </w:tcPr>
          <w:p>
            <w:pPr>
              <w:spacing w:after="0"/>
              <w:rPr>
                <w:sz w:val="11"/>
                <w:szCs w:val="11"/>
                <w:color w:val="auto"/>
              </w:rPr>
            </w:pPr>
          </w:p>
        </w:tc>
        <w:tc>
          <w:tcPr>
            <w:tcW w:w="4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June 30,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689,093</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156.17</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3.42</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280" w:hanging="231"/>
        <w:spacing w:after="0"/>
        <w:tabs>
          <w:tab w:leader="none" w:pos="2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outstanding exclude 131,500 December 2023 Pre-Funded Warrants outstanding with an exercise price of $0.001.</w:t>
      </w:r>
    </w:p>
    <w:p>
      <w:pPr>
        <w:spacing w:after="0" w:line="253" w:lineRule="exact"/>
        <w:rPr>
          <w:rFonts w:ascii="Times New Roman" w:cs="Times New Roman" w:eastAsia="Times New Roman" w:hAnsi="Times New Roman"/>
          <w:sz w:val="14"/>
          <w:szCs w:val="14"/>
          <w:color w:val="auto"/>
        </w:rPr>
      </w:pPr>
    </w:p>
    <w:p>
      <w:pPr>
        <w:ind w:left="280" w:hanging="231"/>
        <w:spacing w:after="0"/>
        <w:tabs>
          <w:tab w:leader="none" w:pos="2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exercised exclude 131,500 December 2023 Pre-Funded Warrants exercised with an exercise price of $0.001.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3"/>
        </w:trPr>
        <w:tc>
          <w:tcPr>
            <w:tcW w:w="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72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ZYVERSA THERAPEUTICS, INC.</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1"/>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20" w:type="dxa"/>
            <w:vAlign w:val="bottom"/>
            <w:gridSpan w:val="8"/>
          </w:tcPr>
          <w:p>
            <w:pPr>
              <w:jc w:val="right"/>
              <w:ind w:right="290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tc>
      </w:tr>
      <w:tr>
        <w:trPr>
          <w:trHeight w:val="331"/>
        </w:trPr>
        <w:tc>
          <w:tcPr>
            <w:tcW w:w="5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presents information related to stock warrants as of June 30, 2024:</w:t>
            </w:r>
          </w:p>
        </w:tc>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500" w:type="dxa"/>
            <w:vAlign w:val="bottom"/>
          </w:tcPr>
          <w:p>
            <w:pPr>
              <w:spacing w:after="0"/>
              <w:rPr>
                <w:sz w:val="24"/>
                <w:szCs w:val="24"/>
                <w:color w:val="auto"/>
              </w:rPr>
            </w:pPr>
          </w:p>
        </w:tc>
        <w:tc>
          <w:tcPr>
            <w:tcW w:w="2840" w:type="dxa"/>
            <w:vAlign w:val="bottom"/>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Warrants Outstanding</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100" w:type="dxa"/>
            <w:vAlign w:val="bottom"/>
            <w:gridSpan w:val="5"/>
          </w:tcPr>
          <w:p>
            <w:pPr>
              <w:jc w:val="right"/>
              <w:ind w:right="1780"/>
              <w:spacing w:after="0"/>
              <w:rPr>
                <w:sz w:val="20"/>
                <w:szCs w:val="20"/>
                <w:color w:val="auto"/>
              </w:rPr>
            </w:pPr>
            <w:r>
              <w:rPr>
                <w:rFonts w:ascii="Times New Roman" w:cs="Times New Roman" w:eastAsia="Times New Roman" w:hAnsi="Times New Roman"/>
                <w:sz w:val="14"/>
                <w:szCs w:val="14"/>
                <w:b w:val="1"/>
                <w:bCs w:val="1"/>
                <w:color w:val="auto"/>
                <w:w w:val="99"/>
              </w:rPr>
              <w:t>Warrants Exercisable</w:t>
            </w:r>
          </w:p>
        </w:tc>
      </w:tr>
      <w:tr>
        <w:trPr>
          <w:trHeight w:val="149"/>
        </w:trPr>
        <w:tc>
          <w:tcPr>
            <w:tcW w:w="5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jc w:val="center"/>
              <w:ind w:right="531"/>
              <w:spacing w:after="0" w:line="149"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300" w:type="dxa"/>
            <w:vAlign w:val="bottom"/>
          </w:tcPr>
          <w:p>
            <w:pPr>
              <w:spacing w:after="0"/>
              <w:rPr>
                <w:sz w:val="12"/>
                <w:szCs w:val="12"/>
                <w:color w:val="auto"/>
              </w:rPr>
            </w:pPr>
          </w:p>
        </w:tc>
        <w:tc>
          <w:tcPr>
            <w:tcW w:w="1760" w:type="dxa"/>
            <w:vAlign w:val="bottom"/>
            <w:tcBorders>
              <w:top w:val="single" w:sz="8" w:color="auto"/>
            </w:tcBorders>
          </w:tcPr>
          <w:p>
            <w:pPr>
              <w:jc w:val="center"/>
              <w:ind w:left="53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100" w:type="dxa"/>
            <w:vAlign w:val="bottom"/>
          </w:tcPr>
          <w:p>
            <w:pPr>
              <w:spacing w:after="0"/>
              <w:rPr>
                <w:sz w:val="12"/>
                <w:szCs w:val="12"/>
                <w:color w:val="auto"/>
              </w:rPr>
            </w:pPr>
          </w:p>
        </w:tc>
      </w:tr>
      <w:tr>
        <w:trPr>
          <w:trHeight w:val="176"/>
        </w:trPr>
        <w:tc>
          <w:tcPr>
            <w:tcW w:w="500" w:type="dxa"/>
            <w:vAlign w:val="bottom"/>
          </w:tcPr>
          <w:p>
            <w:pPr>
              <w:spacing w:after="0"/>
              <w:rPr>
                <w:sz w:val="15"/>
                <w:szCs w:val="15"/>
                <w:color w:val="auto"/>
              </w:rPr>
            </w:pPr>
          </w:p>
        </w:tc>
        <w:tc>
          <w:tcPr>
            <w:tcW w:w="2840" w:type="dxa"/>
            <w:vAlign w:val="bottom"/>
            <w:gridSpan w:val="4"/>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96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760" w:type="dxa"/>
            <w:vAlign w:val="bottom"/>
          </w:tcPr>
          <w:p>
            <w:pPr>
              <w:jc w:val="center"/>
              <w:ind w:left="531"/>
              <w:spacing w:after="0"/>
              <w:rPr>
                <w:sz w:val="20"/>
                <w:szCs w:val="20"/>
                <w:color w:val="auto"/>
              </w:rPr>
            </w:pPr>
            <w:r>
              <w:rPr>
                <w:rFonts w:ascii="Times New Roman" w:cs="Times New Roman" w:eastAsia="Times New Roman" w:hAnsi="Times New Roman"/>
                <w:sz w:val="14"/>
                <w:szCs w:val="14"/>
                <w:b w:val="1"/>
                <w:bCs w:val="1"/>
                <w:color w:val="auto"/>
                <w:w w:val="98"/>
              </w:rPr>
              <w:t>Remaining Life</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183"/>
        </w:trPr>
        <w:tc>
          <w:tcPr>
            <w:tcW w:w="500" w:type="dxa"/>
            <w:vAlign w:val="bottom"/>
          </w:tcPr>
          <w:p>
            <w:pPr>
              <w:spacing w:after="0"/>
              <w:rPr>
                <w:sz w:val="15"/>
                <w:szCs w:val="15"/>
                <w:color w:val="auto"/>
              </w:rPr>
            </w:pPr>
          </w:p>
        </w:tc>
        <w:tc>
          <w:tcPr>
            <w:tcW w:w="2840" w:type="dxa"/>
            <w:vAlign w:val="bottom"/>
            <w:gridSpan w:val="4"/>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96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1760" w:type="dxa"/>
            <w:vAlign w:val="bottom"/>
          </w:tcPr>
          <w:p>
            <w:pPr>
              <w:jc w:val="center"/>
              <w:ind w:left="531"/>
              <w:spacing w:after="0"/>
              <w:rPr>
                <w:sz w:val="20"/>
                <w:szCs w:val="20"/>
                <w:color w:val="auto"/>
              </w:rPr>
            </w:pPr>
            <w:r>
              <w:rPr>
                <w:rFonts w:ascii="Times New Roman" w:cs="Times New Roman" w:eastAsia="Times New Roman" w:hAnsi="Times New Roman"/>
                <w:sz w:val="14"/>
                <w:szCs w:val="14"/>
                <w:b w:val="1"/>
                <w:bCs w:val="1"/>
                <w:color w:val="auto"/>
                <w:w w:val="92"/>
              </w:rPr>
              <w:t>In Years</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Warrants</w:t>
            </w:r>
          </w:p>
        </w:tc>
      </w:tr>
      <w:tr>
        <w:trPr>
          <w:trHeight w:val="166"/>
        </w:trPr>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586,200</w:t>
            </w:r>
          </w:p>
        </w:tc>
        <w:tc>
          <w:tcPr>
            <w:tcW w:w="3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ind w:left="531"/>
              <w:spacing w:after="0"/>
              <w:rPr>
                <w:sz w:val="20"/>
                <w:szCs w:val="20"/>
                <w:color w:val="auto"/>
              </w:rPr>
            </w:pPr>
            <w:r>
              <w:rPr>
                <w:rFonts w:ascii="Times New Roman" w:cs="Times New Roman" w:eastAsia="Times New Roman" w:hAnsi="Times New Roman"/>
                <w:sz w:val="14"/>
                <w:szCs w:val="14"/>
                <w:color w:val="auto"/>
                <w:w w:val="97"/>
              </w:rPr>
              <w:t>3.33</w:t>
            </w:r>
          </w:p>
        </w:tc>
        <w:tc>
          <w:tcPr>
            <w:tcW w:w="4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586,200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6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47.50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20,347</w:t>
            </w:r>
          </w:p>
        </w:tc>
        <w:tc>
          <w:tcPr>
            <w:tcW w:w="1760" w:type="dxa"/>
            <w:vAlign w:val="bottom"/>
          </w:tcPr>
          <w:p>
            <w:pPr>
              <w:jc w:val="center"/>
              <w:ind w:left="531"/>
              <w:spacing w:after="0"/>
              <w:rPr>
                <w:sz w:val="20"/>
                <w:szCs w:val="20"/>
                <w:color w:val="auto"/>
              </w:rPr>
            </w:pPr>
            <w:r>
              <w:rPr>
                <w:rFonts w:ascii="Times New Roman" w:cs="Times New Roman" w:eastAsia="Times New Roman" w:hAnsi="Times New Roman"/>
                <w:sz w:val="14"/>
                <w:szCs w:val="14"/>
                <w:color w:val="auto"/>
                <w:w w:val="97"/>
              </w:rPr>
              <w:t>4.70</w:t>
            </w:r>
          </w:p>
        </w:tc>
        <w:tc>
          <w:tcPr>
            <w:tcW w:w="31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20,347</w:t>
            </w:r>
          </w:p>
        </w:tc>
      </w:tr>
      <w:tr>
        <w:trPr>
          <w:trHeight w:val="16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57.75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19,965</w:t>
            </w:r>
          </w:p>
        </w:tc>
        <w:tc>
          <w:tcPr>
            <w:tcW w:w="1760" w:type="dxa"/>
            <w:vAlign w:val="bottom"/>
            <w:shd w:val="clear" w:color="auto" w:fill="CCEEFF"/>
          </w:tcPr>
          <w:p>
            <w:pPr>
              <w:jc w:val="center"/>
              <w:ind w:left="531"/>
              <w:spacing w:after="0"/>
              <w:rPr>
                <w:sz w:val="20"/>
                <w:szCs w:val="20"/>
                <w:color w:val="auto"/>
              </w:rPr>
            </w:pPr>
            <w:r>
              <w:rPr>
                <w:rFonts w:ascii="Times New Roman" w:cs="Times New Roman" w:eastAsia="Times New Roman" w:hAnsi="Times New Roman"/>
                <w:sz w:val="14"/>
                <w:szCs w:val="14"/>
                <w:color w:val="auto"/>
                <w:w w:val="97"/>
              </w:rPr>
              <w:t>4.02</w:t>
            </w:r>
          </w:p>
        </w:tc>
        <w:tc>
          <w:tcPr>
            <w:tcW w:w="31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19,965</w:t>
            </w:r>
          </w:p>
        </w:tc>
      </w:tr>
      <w:tr>
        <w:trPr>
          <w:trHeight w:val="16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27,551</w:t>
            </w:r>
          </w:p>
        </w:tc>
        <w:tc>
          <w:tcPr>
            <w:tcW w:w="1760" w:type="dxa"/>
            <w:vAlign w:val="bottom"/>
          </w:tcPr>
          <w:p>
            <w:pPr>
              <w:jc w:val="center"/>
              <w:ind w:left="531"/>
              <w:spacing w:after="0"/>
              <w:rPr>
                <w:sz w:val="20"/>
                <w:szCs w:val="20"/>
                <w:color w:val="auto"/>
              </w:rPr>
            </w:pPr>
            <w:r>
              <w:rPr>
                <w:rFonts w:ascii="Times New Roman" w:cs="Times New Roman" w:eastAsia="Times New Roman" w:hAnsi="Times New Roman"/>
                <w:sz w:val="14"/>
                <w:szCs w:val="14"/>
                <w:color w:val="auto"/>
                <w:w w:val="97"/>
              </w:rPr>
              <w:t>3.83</w:t>
            </w:r>
          </w:p>
        </w:tc>
        <w:tc>
          <w:tcPr>
            <w:tcW w:w="31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27,551</w:t>
            </w:r>
          </w:p>
        </w:tc>
      </w:tr>
      <w:tr>
        <w:trPr>
          <w:trHeight w:val="16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13,944</w:t>
            </w:r>
          </w:p>
        </w:tc>
        <w:tc>
          <w:tcPr>
            <w:tcW w:w="1760" w:type="dxa"/>
            <w:vAlign w:val="bottom"/>
            <w:shd w:val="clear" w:color="auto" w:fill="CCEEFF"/>
          </w:tcPr>
          <w:p>
            <w:pPr>
              <w:jc w:val="center"/>
              <w:ind w:left="531"/>
              <w:spacing w:after="0"/>
              <w:rPr>
                <w:sz w:val="20"/>
                <w:szCs w:val="20"/>
                <w:color w:val="auto"/>
              </w:rPr>
            </w:pPr>
            <w:r>
              <w:rPr>
                <w:rFonts w:ascii="Times New Roman" w:cs="Times New Roman" w:eastAsia="Times New Roman" w:hAnsi="Times New Roman"/>
                <w:sz w:val="14"/>
                <w:szCs w:val="14"/>
                <w:color w:val="auto"/>
                <w:w w:val="97"/>
              </w:rPr>
              <w:t>3.45</w:t>
            </w:r>
          </w:p>
        </w:tc>
        <w:tc>
          <w:tcPr>
            <w:tcW w:w="31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13,944</w:t>
            </w:r>
          </w:p>
        </w:tc>
      </w:tr>
      <w:tr>
        <w:trPr>
          <w:trHeight w:val="16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1,760.50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300</w:t>
            </w:r>
          </w:p>
        </w:tc>
        <w:tc>
          <w:tcPr>
            <w:tcW w:w="1760" w:type="dxa"/>
            <w:vAlign w:val="bottom"/>
          </w:tcPr>
          <w:p>
            <w:pPr>
              <w:jc w:val="center"/>
              <w:ind w:left="531"/>
              <w:spacing w:after="0"/>
              <w:rPr>
                <w:sz w:val="20"/>
                <w:szCs w:val="20"/>
                <w:color w:val="auto"/>
              </w:rPr>
            </w:pPr>
            <w:r>
              <w:rPr>
                <w:rFonts w:ascii="Times New Roman" w:cs="Times New Roman" w:eastAsia="Times New Roman" w:hAnsi="Times New Roman"/>
                <w:sz w:val="14"/>
                <w:szCs w:val="14"/>
                <w:color w:val="auto"/>
                <w:w w:val="97"/>
              </w:rPr>
              <w:t>0.19</w:t>
            </w:r>
          </w:p>
        </w:tc>
        <w:tc>
          <w:tcPr>
            <w:tcW w:w="31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r>
      <w:tr>
        <w:trPr>
          <w:trHeight w:val="16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2,415.00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3,651</w:t>
            </w:r>
          </w:p>
        </w:tc>
        <w:tc>
          <w:tcPr>
            <w:tcW w:w="1760" w:type="dxa"/>
            <w:vAlign w:val="bottom"/>
            <w:shd w:val="clear" w:color="auto" w:fill="CCEEFF"/>
          </w:tcPr>
          <w:p>
            <w:pPr>
              <w:jc w:val="center"/>
              <w:ind w:left="531"/>
              <w:spacing w:after="0"/>
              <w:rPr>
                <w:sz w:val="20"/>
                <w:szCs w:val="20"/>
                <w:color w:val="auto"/>
              </w:rPr>
            </w:pPr>
            <w:r>
              <w:rPr>
                <w:rFonts w:ascii="Times New Roman" w:cs="Times New Roman" w:eastAsia="Times New Roman" w:hAnsi="Times New Roman"/>
                <w:sz w:val="14"/>
                <w:szCs w:val="14"/>
                <w:color w:val="auto"/>
                <w:w w:val="97"/>
              </w:rPr>
              <w:t>3.45</w:t>
            </w:r>
          </w:p>
        </w:tc>
        <w:tc>
          <w:tcPr>
            <w:tcW w:w="31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3,651</w:t>
            </w:r>
          </w:p>
        </w:tc>
      </w:tr>
      <w:tr>
        <w:trPr>
          <w:trHeight w:val="177"/>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4,025.00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17,335</w:t>
            </w:r>
          </w:p>
        </w:tc>
        <w:tc>
          <w:tcPr>
            <w:tcW w:w="1760" w:type="dxa"/>
            <w:vAlign w:val="bottom"/>
          </w:tcPr>
          <w:p>
            <w:pPr>
              <w:jc w:val="center"/>
              <w:ind w:left="531"/>
              <w:spacing w:after="0"/>
              <w:rPr>
                <w:sz w:val="20"/>
                <w:szCs w:val="20"/>
                <w:color w:val="auto"/>
              </w:rPr>
            </w:pPr>
            <w:r>
              <w:rPr>
                <w:rFonts w:ascii="Times New Roman" w:cs="Times New Roman" w:eastAsia="Times New Roman" w:hAnsi="Times New Roman"/>
                <w:sz w:val="14"/>
                <w:szCs w:val="14"/>
                <w:color w:val="auto"/>
                <w:w w:val="97"/>
              </w:rPr>
              <w:t>3.45</w:t>
            </w:r>
          </w:p>
        </w:tc>
        <w:tc>
          <w:tcPr>
            <w:tcW w:w="31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17,335</w:t>
            </w:r>
          </w:p>
        </w:tc>
      </w:tr>
      <w:tr>
        <w:trPr>
          <w:trHeight w:val="176"/>
        </w:trPr>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8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689,293</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auto"/>
              <w:bottom w:val="single" w:sz="8" w:color="auto"/>
            </w:tcBorders>
            <w:shd w:val="clear" w:color="auto" w:fill="CCEEFF"/>
          </w:tcPr>
          <w:p>
            <w:pPr>
              <w:jc w:val="center"/>
              <w:ind w:left="531"/>
              <w:spacing w:after="0"/>
              <w:rPr>
                <w:sz w:val="20"/>
                <w:szCs w:val="20"/>
                <w:color w:val="auto"/>
              </w:rPr>
            </w:pPr>
            <w:r>
              <w:rPr>
                <w:rFonts w:ascii="Times New Roman" w:cs="Times New Roman" w:eastAsia="Times New Roman" w:hAnsi="Times New Roman"/>
                <w:sz w:val="14"/>
                <w:szCs w:val="14"/>
                <w:color w:val="auto"/>
                <w:w w:val="97"/>
              </w:rPr>
              <w:t>3.42</w:t>
            </w: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Effectiveness Failure</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In connection with the business combination with Larkspur Health Acquisition Corp., the Company conducted the Series A Preferred Stock Financing. On or about February 20, 2023, the Company failed to have the SEC declare a registration statement effective (the “Effectiveness Failure”) which covered the Series A Preferred Stock registrable securities within the time period prescribed by the Securities Purchase Agreement (the “SPA”). The SPA entitles the investors to receive registration delay payments (“Registration Delay Payments”) equal to 1.5% of each investor’s purchase price on the date of the Effectiveness Failure and every thirty days thereafter that the Effectiveness Failure persists. Failure to make the Registration Delay Payments on a timely basis result in the accrual of interest at the rate of 2.0% per month. On April 28, 2023, the proceeds from the April 2023 Offering were used to make most of the Registration Delay Payments and redeem substantially all of the Series A Preferred Stock. As of June 30, 2024, the Company has accrued additional Registration Delay Payments of approximately $7,261 in the aggregate.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Subsequent Events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Warrants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On August 1, 2024, the Company initiated a limited time program, which was immediately accepted by the warrant holder, that permitted the holder to exercise its December 2023 Offering warrants at a reduced exercise price of $3.46 per share and granted new warrants to purchase (i) 392,000 shares of common stock with an exercise term of 5 years from stockholder approval and (ii) 86,600 shares of common stock with an exercise term of 18 months from stockholder approval. Both warrants have an exercise price of $3.46 per share. Under the program, the warrant holder submitted an exercise notice and the related aggregate cash exercise price to purchase 239,300 shares of common stock on August 1, 2024 for gross proceeds of $827,978. However, due to beneficial ownership limitations, only 194,300 of the 239,300 shares of common stock have been issued through the filing date. The remaining 45,000 unissued shares of common stock and the related exercise proceeds are held in abeyance pending availability under the beneficial ownership limitations. Issuance costs include financial advisor fees of $50,000 and reimbursement to the financial advisor for legal expenses.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results of operations and financial condition of ZyVersa Therapeutics, Inc. (the “Company,” “we,” “us” or “our”) as of June 30, 2024 and for the three and six months ended June 30, 2024 and 2023 should be read in conjunction with our unaudited condensed consolidated financial statements and the notes to those financial statements that are included elsewhere in this Quarterly Report on Form 10-Q. This discussion and analysis should be read in conjunction with the Company’s audited financial statements and related disclosures as of December 31, 2023 and for the year then ended, which are included in the Form 10-K (the “Annual Report”) filed with the Securities and Exchange Commission (“SEC”) on March 25, 2024, as amended on May 15, 2024.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 Actual results could differ materially because of the factors discussed in “Risk Factors” in our Annual Report, and other factors that we may not know. Except as otherwise required by applicable law, we disclaim any duty to update any forward-looking statements, all of which are expressly qualified by the statements above, to reflect events or circumstances after the date of this Quarterly Report on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72" w:lineRule="exact"/>
        <w:rPr>
          <w:sz w:val="20"/>
          <w:szCs w:val="20"/>
          <w:color w:val="auto"/>
        </w:rPr>
      </w:pPr>
    </w:p>
    <w:p>
      <w:pPr>
        <w:jc w:val="both"/>
        <w:ind w:firstLine="497"/>
        <w:spacing w:after="0" w:line="278" w:lineRule="auto"/>
        <w:rPr>
          <w:sz w:val="20"/>
          <w:szCs w:val="20"/>
          <w:color w:val="auto"/>
        </w:rPr>
      </w:pPr>
      <w:r>
        <w:rPr>
          <w:rFonts w:ascii="Times New Roman" w:cs="Times New Roman" w:eastAsia="Times New Roman" w:hAnsi="Times New Roman"/>
          <w:sz w:val="13"/>
          <w:szCs w:val="13"/>
          <w:color w:val="auto"/>
        </w:rPr>
        <w:t>We are a clinical stage specialty biopharmaceutical company leveraging advanced proprietary technologies to develop first-in-class drugs for patients with inflammatory or kidney diseases with high unmet medical needs. We are well positioned in the rapidly emerging inflammasome space with a highly differentiated monoclonal antibody, Inflammasome ASC Inhibitor IC 100, and in kidney</w:t>
      </w:r>
    </w:p>
    <w:p>
      <w:pPr>
        <w:jc w:val="both"/>
        <w:spacing w:after="0" w:line="210" w:lineRule="auto"/>
        <w:rPr>
          <w:sz w:val="20"/>
          <w:szCs w:val="20"/>
          <w:color w:val="auto"/>
        </w:rPr>
      </w:pPr>
      <w:r>
        <w:rPr>
          <w:rFonts w:ascii="Times New Roman" w:cs="Times New Roman" w:eastAsia="Times New Roman" w:hAnsi="Times New Roman"/>
          <w:sz w:val="14"/>
          <w:szCs w:val="14"/>
          <w:color w:val="auto"/>
        </w:rPr>
        <w:t>disease with phase 2 Cholesterol Efflux Mediator</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4"/>
          <w:szCs w:val="14"/>
          <w:color w:val="auto"/>
        </w:rPr>
        <w:t xml:space="preserve"> VAR 200. The lead indication for IC 100 is obesity and its associated metabolic complications, and for VAR 200, focal segmental glomerulosclerosis (FSGS). Each therapeutic area offers a “pipeline within a product,” with potential for numerous indications. The total accessible market is over $100 billion.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Operations Overview</w:t>
      </w:r>
    </w:p>
    <w:p>
      <w:pPr>
        <w:spacing w:after="0" w:line="172" w:lineRule="exact"/>
        <w:rPr>
          <w:sz w:val="20"/>
          <w:szCs w:val="20"/>
          <w:color w:val="auto"/>
        </w:rPr>
      </w:pPr>
    </w:p>
    <w:p>
      <w:pPr>
        <w:jc w:val="both"/>
        <w:ind w:firstLine="497"/>
        <w:spacing w:after="0" w:line="261" w:lineRule="auto"/>
        <w:rPr>
          <w:sz w:val="20"/>
          <w:szCs w:val="20"/>
          <w:color w:val="auto"/>
        </w:rPr>
      </w:pPr>
      <w:r>
        <w:rPr>
          <w:rFonts w:ascii="Times New Roman" w:cs="Times New Roman" w:eastAsia="Times New Roman" w:hAnsi="Times New Roman"/>
          <w:sz w:val="14"/>
          <w:szCs w:val="14"/>
          <w:color w:val="auto"/>
        </w:rPr>
        <w:t>We have not generated any revenue to date and have incurred significant operating losses. Our net losses were $5.6 million for the period from January 1, 2024 through June 30, 2024, compared to $82.1 million for the period from January 1, 2023 through June 30, 2023. As of June 30, 2024, we had an accumulated deficit of approximately $108.8 million and cash of $0.1 million. We expect to continue to incur significant expenses for the foreseeable future and to incur operating losses. We expect our expenses will increase in connection with our ongoing activities as we:</w:t>
      </w:r>
    </w:p>
    <w:p>
      <w:pPr>
        <w:spacing w:after="0" w:line="137" w:lineRule="exact"/>
        <w:rPr>
          <w:sz w:val="20"/>
          <w:szCs w:val="20"/>
          <w:color w:val="auto"/>
        </w:rPr>
      </w:pPr>
    </w:p>
    <w:p>
      <w:pPr>
        <w:ind w:left="1000" w:hanging="500"/>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progress development of VAR 200 and IC 100;</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and file regulatory submissions;</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 to manufacture our product candidates for clinical trials;</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research and development, finance, and general and administrative personnel;</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 and defend our intellectual property; and</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the requirements of being a public company.</w:t>
      </w:r>
    </w:p>
    <w:p>
      <w:pPr>
        <w:spacing w:after="0" w:line="170" w:lineRule="exact"/>
        <w:rPr>
          <w:sz w:val="20"/>
          <w:szCs w:val="20"/>
          <w:color w:val="auto"/>
        </w:rPr>
      </w:pPr>
    </w:p>
    <w:p>
      <w:pPr>
        <w:jc w:val="both"/>
        <w:ind w:firstLine="497"/>
        <w:spacing w:after="0" w:line="261" w:lineRule="auto"/>
        <w:rPr>
          <w:sz w:val="20"/>
          <w:szCs w:val="20"/>
          <w:color w:val="auto"/>
        </w:rPr>
      </w:pPr>
      <w:r>
        <w:rPr>
          <w:rFonts w:ascii="Times New Roman" w:cs="Times New Roman" w:eastAsia="Times New Roman" w:hAnsi="Times New Roman"/>
          <w:sz w:val="14"/>
          <w:szCs w:val="14"/>
          <w:color w:val="auto"/>
        </w:rPr>
        <w:t>We will need additional financing to support our continuing operations. We will seek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revenues to achieve profitability, and we may never do so.</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Components of Operating Results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2" w:lineRule="exact"/>
        <w:rPr>
          <w:sz w:val="20"/>
          <w:szCs w:val="20"/>
          <w:color w:val="auto"/>
        </w:rPr>
      </w:pPr>
    </w:p>
    <w:p>
      <w:pPr>
        <w:jc w:val="both"/>
        <w:ind w:firstLine="497"/>
        <w:spacing w:after="0" w:line="261" w:lineRule="auto"/>
        <w:rPr>
          <w:sz w:val="20"/>
          <w:szCs w:val="20"/>
          <w:color w:val="auto"/>
        </w:rPr>
      </w:pPr>
      <w:r>
        <w:rPr>
          <w:rFonts w:ascii="Times New Roman" w:cs="Times New Roman" w:eastAsia="Times New Roman" w:hAnsi="Times New Roman"/>
          <w:sz w:val="14"/>
          <w:szCs w:val="14"/>
          <w:color w:val="auto"/>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Research and development expenses consist of costs incurred in the discovery and development of our product candidates, and primarily include:</w:t>
      </w:r>
    </w:p>
    <w:p>
      <w:pPr>
        <w:spacing w:after="0" w:line="170" w:lineRule="exact"/>
        <w:rPr>
          <w:sz w:val="20"/>
          <w:szCs w:val="20"/>
          <w:color w:val="auto"/>
        </w:rPr>
      </w:pPr>
    </w:p>
    <w:p>
      <w:pPr>
        <w:ind w:left="1000" w:hanging="500"/>
        <w:spacing w:after="0" w:line="276" w:lineRule="auto"/>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under third party agreements with contract research organizations (“CROs”), and investigative sites, that conducted or will conduct our clinical trials and a portion of our pre-clinical activities;</w:t>
      </w:r>
    </w:p>
    <w:p>
      <w:pPr>
        <w:spacing w:after="0" w:line="126"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raw materials, as well as manufacturing cost of our materials used in clinical trials and other development testing;</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including salaries, stock-based compensation and benefits of employees engaged in research and development activities;</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equipment, depreciation and other allocated expenses; and</w:t>
      </w:r>
    </w:p>
    <w:p>
      <w:pPr>
        <w:spacing w:after="0" w:line="170" w:lineRule="exact"/>
        <w:rPr>
          <w:rFonts w:ascii="Times New Roman" w:cs="Times New Roman" w:eastAsia="Times New Roman" w:hAnsi="Times New Roman"/>
          <w:sz w:val="14"/>
          <w:szCs w:val="14"/>
          <w:color w:val="auto"/>
        </w:rPr>
      </w:pPr>
    </w:p>
    <w:p>
      <w:pPr>
        <w:ind w:left="1000" w:hanging="500"/>
        <w:spacing w:after="0" w:line="276" w:lineRule="auto"/>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paid for contracted regulatory services as well as fees paid to regulatory authorities including the U.S. Food and Drug Administration (the “FDA”) for review and approval of our product candidates.</w:t>
      </w:r>
    </w:p>
    <w:p>
      <w:pPr>
        <w:spacing w:after="0" w:line="127" w:lineRule="exact"/>
        <w:rPr>
          <w:sz w:val="20"/>
          <w:szCs w:val="20"/>
          <w:color w:val="auto"/>
        </w:rPr>
      </w:pPr>
    </w:p>
    <w:p>
      <w:pPr>
        <w:jc w:val="both"/>
        <w:ind w:firstLine="497"/>
        <w:spacing w:after="0" w:line="261" w:lineRule="auto"/>
        <w:rPr>
          <w:sz w:val="20"/>
          <w:szCs w:val="20"/>
          <w:color w:val="auto"/>
        </w:rPr>
      </w:pPr>
      <w:r>
        <w:rPr>
          <w:rFonts w:ascii="Times New Roman" w:cs="Times New Roman" w:eastAsia="Times New Roman" w:hAnsi="Times New Roman"/>
          <w:sz w:val="14"/>
          <w:szCs w:val="14"/>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spacing w:after="0" w:line="137" w:lineRule="exact"/>
        <w:rPr>
          <w:sz w:val="20"/>
          <w:szCs w:val="20"/>
          <w:color w:val="auto"/>
        </w:rPr>
      </w:pPr>
    </w:p>
    <w:p>
      <w:pPr>
        <w:jc w:val="both"/>
        <w:ind w:firstLine="497"/>
        <w:spacing w:after="0" w:line="274" w:lineRule="auto"/>
        <w:rPr>
          <w:sz w:val="20"/>
          <w:szCs w:val="20"/>
          <w:color w:val="auto"/>
        </w:rPr>
      </w:pPr>
      <w:r>
        <w:rPr>
          <w:rFonts w:ascii="Times New Roman" w:cs="Times New Roman" w:eastAsia="Times New Roman" w:hAnsi="Times New Roman"/>
          <w:sz w:val="13"/>
          <w:szCs w:val="13"/>
          <w:color w:val="auto"/>
        </w:rPr>
        <w:t>Research and development activities are central to our business model. We expect that our research and development expenses will continue to increase for the foreseeable future as we continue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w:t>
      </w:r>
    </w:p>
    <w:p>
      <w:pPr>
        <w:jc w:val="both"/>
        <w:ind w:firstLine="3"/>
        <w:spacing w:after="0" w:line="250" w:lineRule="auto"/>
        <w:tabs>
          <w:tab w:leader="none" w:pos="28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we advance VAR 200 and IC 100, as well as identify any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 including potential collaborations with other companies or other strategic transactions.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17" w:name="page18"/>
    <w:bookmarkEnd w:id="17"/>
    <w:p>
      <w:pPr>
        <w:jc w:val="both"/>
        <w:ind w:firstLine="497"/>
        <w:spacing w:after="0" w:line="261" w:lineRule="auto"/>
        <w:rPr>
          <w:sz w:val="20"/>
          <w:szCs w:val="20"/>
          <w:color w:val="auto"/>
        </w:rPr>
      </w:pPr>
      <w:r>
        <w:rPr>
          <w:rFonts w:ascii="Times New Roman" w:cs="Times New Roman" w:eastAsia="Times New Roman" w:hAnsi="Times New Roman"/>
          <w:sz w:val="14"/>
          <w:szCs w:val="14"/>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as a result of many factors, including:</w:t>
      </w:r>
    </w:p>
    <w:p>
      <w:pPr>
        <w:spacing w:after="0" w:line="137" w:lineRule="exact"/>
        <w:rPr>
          <w:sz w:val="20"/>
          <w:szCs w:val="20"/>
          <w:color w:val="auto"/>
        </w:rPr>
      </w:pPr>
    </w:p>
    <w:p>
      <w:pPr>
        <w:ind w:left="1000" w:hanging="500"/>
        <w:spacing w:after="0"/>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clinical sites included in the clinical trials;</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time required to enroll suitable patients;</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patient populations participating in the clinical trials;</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doses a patient receives;</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duration of patient follow-ups;</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state of the product candidates; and</w:t>
      </w:r>
    </w:p>
    <w:p>
      <w:pPr>
        <w:spacing w:after="0" w:line="170"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safety profile of the product candidates.</w:t>
      </w:r>
    </w:p>
    <w:p>
      <w:pPr>
        <w:spacing w:after="0" w:line="170" w:lineRule="exact"/>
        <w:rPr>
          <w:sz w:val="20"/>
          <w:szCs w:val="20"/>
          <w:color w:val="auto"/>
        </w:rPr>
      </w:pPr>
    </w:p>
    <w:p>
      <w:pPr>
        <w:jc w:val="both"/>
        <w:ind w:firstLine="497"/>
        <w:spacing w:after="0" w:line="252" w:lineRule="auto"/>
        <w:rPr>
          <w:sz w:val="20"/>
          <w:szCs w:val="20"/>
          <w:color w:val="auto"/>
        </w:rPr>
      </w:pPr>
      <w:r>
        <w:rPr>
          <w:rFonts w:ascii="Times New Roman" w:cs="Times New Roman" w:eastAsia="Times New Roman" w:hAnsi="Times New Roman"/>
          <w:sz w:val="14"/>
          <w:szCs w:val="14"/>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likely millions of dollars in development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72" w:lineRule="exact"/>
        <w:rPr>
          <w:sz w:val="20"/>
          <w:szCs w:val="20"/>
          <w:color w:val="auto"/>
        </w:rPr>
      </w:pPr>
    </w:p>
    <w:p>
      <w:pPr>
        <w:jc w:val="both"/>
        <w:ind w:firstLine="497"/>
        <w:spacing w:after="0" w:line="276" w:lineRule="auto"/>
        <w:rPr>
          <w:sz w:val="20"/>
          <w:szCs w:val="20"/>
          <w:color w:val="auto"/>
        </w:rPr>
      </w:pPr>
      <w:r>
        <w:rPr>
          <w:rFonts w:ascii="Times New Roman" w:cs="Times New Roman" w:eastAsia="Times New Roman" w:hAnsi="Times New Roman"/>
          <w:sz w:val="14"/>
          <w:szCs w:val="14"/>
          <w:color w:val="auto"/>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 information technology, office, and travel expenses.</w:t>
      </w:r>
    </w:p>
    <w:p>
      <w:pPr>
        <w:spacing w:after="0" w:line="127" w:lineRule="exact"/>
        <w:rPr>
          <w:sz w:val="20"/>
          <w:szCs w:val="20"/>
          <w:color w:val="auto"/>
        </w:rPr>
      </w:pPr>
    </w:p>
    <w:p>
      <w:pPr>
        <w:jc w:val="both"/>
        <w:ind w:firstLine="497"/>
        <w:spacing w:after="0" w:line="261" w:lineRule="auto"/>
        <w:rPr>
          <w:sz w:val="20"/>
          <w:szCs w:val="20"/>
          <w:color w:val="auto"/>
        </w:rPr>
      </w:pPr>
      <w:r>
        <w:rPr>
          <w:rFonts w:ascii="Times New Roman" w:cs="Times New Roman" w:eastAsia="Times New Roman" w:hAnsi="Times New Roman"/>
          <w:sz w:val="14"/>
          <w:szCs w:val="14"/>
          <w:color w:val="auto"/>
        </w:rPr>
        <w:t>We expect that our general and administrative expenses will increase in the future as we increase our general and administrative headcount to support our continued research and development and potential commercialization of our product candidates. We also expect to incur substantial expenses associated with being a public company, including costs of accounting, audit, legal, regulatory and tax compliance services, director and officer insurance, and investor and public relations costs.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June 30, 2024 and the three months ended June 30, 2023</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three months ended June 30, 2024 and for the three months ended June 30,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jc w:val="center"/>
              <w:ind w:left="791"/>
              <w:spacing w:after="0"/>
              <w:rPr>
                <w:sz w:val="20"/>
                <w:szCs w:val="20"/>
                <w:color w:val="auto"/>
              </w:rPr>
            </w:pPr>
            <w:r>
              <w:rPr>
                <w:rFonts w:ascii="Times New Roman" w:cs="Times New Roman" w:eastAsia="Times New Roman" w:hAnsi="Times New Roman"/>
                <w:sz w:val="14"/>
                <w:szCs w:val="14"/>
                <w:b w:val="1"/>
                <w:bCs w:val="1"/>
                <w:color w:val="auto"/>
                <w:w w:val="95"/>
              </w:rPr>
              <w:t>Favorable</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791"/>
              <w:spacing w:after="0"/>
              <w:rPr>
                <w:sz w:val="20"/>
                <w:szCs w:val="20"/>
                <w:color w:val="auto"/>
              </w:rPr>
            </w:pPr>
            <w:r>
              <w:rPr>
                <w:rFonts w:ascii="Times New Roman" w:cs="Times New Roman" w:eastAsia="Times New Roman" w:hAnsi="Times New Roman"/>
                <w:sz w:val="14"/>
                <w:szCs w:val="14"/>
                <w:b w:val="1"/>
                <w:bCs w:val="1"/>
                <w:color w:val="auto"/>
                <w:w w:val="97"/>
              </w:rPr>
              <w:t>(Unfavorable)</w:t>
            </w: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5"/>
                <w:szCs w:val="15"/>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color w:val="auto"/>
              </w:rPr>
              <w:t>709</w:t>
            </w: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80" w:type="dxa"/>
            <w:vAlign w:val="bottom"/>
          </w:tcPr>
          <w:p>
            <w:pPr>
              <w:spacing w:after="0"/>
              <w:rPr>
                <w:sz w:val="14"/>
                <w:szCs w:val="14"/>
                <w:color w:val="auto"/>
              </w:rPr>
            </w:pPr>
          </w:p>
        </w:tc>
        <w:tc>
          <w:tcPr>
            <w:tcW w:w="40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512</w:t>
            </w:r>
          </w:p>
        </w:tc>
        <w:tc>
          <w:tcPr>
            <w:tcW w:w="32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1,884</w:t>
            </w:r>
          </w:p>
        </w:tc>
        <w:tc>
          <w:tcPr>
            <w:tcW w:w="3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Impairment of in-process research and development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69,280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69,280</w:t>
            </w:r>
          </w:p>
        </w:tc>
        <w:tc>
          <w:tcPr>
            <w:tcW w:w="32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goodwill</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11,895</w:t>
            </w:r>
          </w:p>
        </w:tc>
        <w:tc>
          <w:tcPr>
            <w:tcW w:w="32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80" w:type="dxa"/>
            <w:vAlign w:val="bottom"/>
            <w:tcBorders>
              <w:top w:val="single" w:sz="8" w:color="CCEEFF"/>
              <w:bottom w:val="single" w:sz="8" w:color="CCEEFF"/>
            </w:tcBorders>
            <w:gridSpan w:val="2"/>
          </w:tcPr>
          <w:p>
            <w:pPr>
              <w:ind w:left="260"/>
              <w:spacing w:after="0" w:line="147" w:lineRule="exact"/>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2,754</w:t>
            </w:r>
          </w:p>
        </w:tc>
        <w:tc>
          <w:tcPr>
            <w:tcW w:w="34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86,325</w:t>
            </w:r>
          </w:p>
        </w:tc>
        <w:tc>
          <w:tcPr>
            <w:tcW w:w="18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CCEEFF"/>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83,571</w:t>
            </w:r>
          </w:p>
        </w:tc>
        <w:tc>
          <w:tcPr>
            <w:tcW w:w="340" w:type="dxa"/>
            <w:vAlign w:val="bottom"/>
            <w:tcBorders>
              <w:top w:val="single" w:sz="8" w:color="CCEEFF"/>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96.8</w:t>
            </w:r>
          </w:p>
        </w:tc>
        <w:tc>
          <w:tcPr>
            <w:tcW w:w="160" w:type="dxa"/>
            <w:vAlign w:val="bottom"/>
            <w:tcBorders>
              <w:top w:val="single" w:sz="8" w:color="CCEEFF"/>
              <w:bottom w:val="single" w:sz="8" w:color="CCEEFF"/>
            </w:tcBorders>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Loss from Operations</w:t>
            </w:r>
          </w:p>
        </w:tc>
        <w:tc>
          <w:tcPr>
            <w:tcW w:w="340" w:type="dxa"/>
            <w:vAlign w:val="bottom"/>
          </w:tcPr>
          <w:p>
            <w:pPr>
              <w:spacing w:after="0"/>
              <w:rPr>
                <w:sz w:val="14"/>
                <w:szCs w:val="14"/>
                <w:color w:val="auto"/>
              </w:rPr>
            </w:pPr>
          </w:p>
        </w:tc>
        <w:tc>
          <w:tcPr>
            <w:tcW w:w="146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(2,754)</w:t>
            </w:r>
          </w:p>
        </w:tc>
        <w:tc>
          <w:tcPr>
            <w:tcW w:w="3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(86,325)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83,571</w:t>
            </w:r>
          </w:p>
        </w:tc>
        <w:tc>
          <w:tcPr>
            <w:tcW w:w="32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96.8%</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0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Pre-tax net loss</w:t>
            </w:r>
          </w:p>
        </w:tc>
        <w:tc>
          <w:tcPr>
            <w:tcW w:w="340" w:type="dxa"/>
            <w:vAlign w:val="bottom"/>
          </w:tcPr>
          <w:p>
            <w:pPr>
              <w:spacing w:after="0"/>
              <w:rPr>
                <w:sz w:val="14"/>
                <w:szCs w:val="14"/>
                <w:color w:val="auto"/>
              </w:rPr>
            </w:pPr>
          </w:p>
        </w:tc>
        <w:tc>
          <w:tcPr>
            <w:tcW w:w="146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(2,754)</w:t>
            </w:r>
          </w:p>
        </w:tc>
        <w:tc>
          <w:tcPr>
            <w:tcW w:w="3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(86,325)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83,571</w:t>
            </w:r>
          </w:p>
        </w:tc>
        <w:tc>
          <w:tcPr>
            <w:tcW w:w="32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benefit</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(7,822)</w:t>
            </w:r>
          </w:p>
        </w:tc>
        <w:tc>
          <w:tcPr>
            <w:tcW w:w="32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Borders>
              <w:top w:val="single" w:sz="8" w:color="CCEEFF"/>
            </w:tcBorders>
            <w:gridSpan w:val="2"/>
          </w:tcPr>
          <w:p>
            <w:pPr>
              <w:spacing w:after="0" w:line="157" w:lineRule="exact"/>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(2,764</w:t>
            </w:r>
          </w:p>
        </w:tc>
        <w:tc>
          <w:tcPr>
            <w:tcW w:w="340" w:type="dxa"/>
            <w:vAlign w:val="bottom"/>
            <w:tcBorders>
              <w:top w:val="single" w:sz="8" w:color="CCEEFF"/>
            </w:tcBorders>
          </w:tcPr>
          <w:p>
            <w:pPr>
              <w:jc w:val="right"/>
              <w:ind w:right="211"/>
              <w:spacing w:after="0" w:line="157" w:lineRule="exact"/>
              <w:rPr>
                <w:sz w:val="20"/>
                <w:szCs w:val="20"/>
                <w:color w:val="auto"/>
              </w:rPr>
            </w:pPr>
            <w:r>
              <w:rPr>
                <w:rFonts w:ascii="Times New Roman" w:cs="Times New Roman" w:eastAsia="Times New Roman" w:hAnsi="Times New Roman"/>
                <w:sz w:val="14"/>
                <w:szCs w:val="14"/>
                <w:color w:val="auto"/>
                <w:w w:val="84"/>
              </w:rPr>
              <w:t>)</w:t>
            </w:r>
          </w:p>
        </w:tc>
        <w:tc>
          <w:tcPr>
            <w:tcW w:w="340" w:type="dxa"/>
            <w:vAlign w:val="bottom"/>
            <w:tcBorders>
              <w:top w:val="single" w:sz="8" w:color="auto"/>
            </w:tcBorders>
          </w:tcPr>
          <w:p>
            <w:pPr>
              <w:jc w:val="right"/>
              <w:ind w:right="19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(78,513</w:t>
            </w:r>
          </w:p>
        </w:tc>
        <w:tc>
          <w:tcPr>
            <w:tcW w:w="180" w:type="dxa"/>
            <w:vAlign w:val="bottom"/>
            <w:tcBorders>
              <w:top w:val="single" w:sz="8" w:color="CCEEFF"/>
            </w:tcBorders>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75,749</w:t>
            </w:r>
          </w:p>
        </w:tc>
        <w:tc>
          <w:tcPr>
            <w:tcW w:w="34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96.5</w:t>
            </w:r>
          </w:p>
        </w:tc>
        <w:tc>
          <w:tcPr>
            <w:tcW w:w="160" w:type="dxa"/>
            <w:vAlign w:val="bottom"/>
            <w:tcBorders>
              <w:top w:val="single" w:sz="8" w:color="CCEEFF"/>
            </w:tcBorders>
            <w:gridSpan w:val="2"/>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72" w:lineRule="exact"/>
        <w:rPr>
          <w:sz w:val="20"/>
          <w:szCs w:val="20"/>
          <w:color w:val="auto"/>
        </w:rPr>
      </w:pPr>
    </w:p>
    <w:p>
      <w:pPr>
        <w:jc w:val="both"/>
        <w:ind w:firstLine="497"/>
        <w:spacing w:after="0" w:line="316" w:lineRule="auto"/>
        <w:rPr>
          <w:sz w:val="20"/>
          <w:szCs w:val="20"/>
          <w:color w:val="auto"/>
        </w:rPr>
      </w:pPr>
      <w:r>
        <w:rPr>
          <w:rFonts w:ascii="Times New Roman" w:cs="Times New Roman" w:eastAsia="Times New Roman" w:hAnsi="Times New Roman"/>
          <w:sz w:val="13"/>
          <w:szCs w:val="13"/>
          <w:color w:val="auto"/>
        </w:rPr>
        <w:t>Research and development expenses were approximately $0.7 million for the three months ended June 30, 2024, a decrease of approximately $0.5 million or 41.9% from the three months ended June 30, 2023. The decrease is primarily attributable to a decrease of $0.4 million in the costs of manufacturing of IC 100 and a decrease in payroll expenses due to employee attrition of $0.1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72" w:lineRule="exact"/>
        <w:rPr>
          <w:sz w:val="20"/>
          <w:szCs w:val="20"/>
          <w:color w:val="auto"/>
        </w:rPr>
      </w:pPr>
    </w:p>
    <w:p>
      <w:pPr>
        <w:jc w:val="both"/>
        <w:ind w:firstLine="497"/>
        <w:spacing w:after="0" w:line="252" w:lineRule="auto"/>
        <w:rPr>
          <w:sz w:val="20"/>
          <w:szCs w:val="20"/>
          <w:color w:val="auto"/>
        </w:rPr>
      </w:pPr>
      <w:r>
        <w:rPr>
          <w:rFonts w:ascii="Times New Roman" w:cs="Times New Roman" w:eastAsia="Times New Roman" w:hAnsi="Times New Roman"/>
          <w:sz w:val="14"/>
          <w:szCs w:val="14"/>
          <w:color w:val="auto"/>
        </w:rPr>
        <w:t>General and administrative expenses were approximately $2.0 million for the three months ended June 30, 2024, a decrease of approximately $1.9 million or 48.0% from the three months ended June 30, 2023. The decrease is primarily attributable to $1.2 million of common stock granted to certain members of Larkspur Health LLC, a Delaware limited liability company (the “Sponsor”), recognized in 2023 in exchange for increasing the duration of the period during which they are not permitted to sell their common stock, a $0.2 million decrease in professional fees due to reduced fees related to changes in public auditors and legal counsel, a $0.2 million decrease in marketing costs for investor and public relations as a result of a reduction in marketing vendors in 2024, a $0.2 million decrease in director and officer insurance due to reduced costs in the second year of being a public company, and a $0.1 million decrease in stock-based compensation as a result of options becoming fully amortized in February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In-Process Research and Development and Goodwill</w:t>
      </w:r>
    </w:p>
    <w:p>
      <w:pPr>
        <w:spacing w:after="0" w:line="172" w:lineRule="exact"/>
        <w:rPr>
          <w:sz w:val="20"/>
          <w:szCs w:val="20"/>
          <w:color w:val="auto"/>
        </w:rPr>
      </w:pPr>
    </w:p>
    <w:p>
      <w:pPr>
        <w:jc w:val="both"/>
        <w:ind w:firstLine="497"/>
        <w:spacing w:after="0" w:line="276" w:lineRule="auto"/>
        <w:rPr>
          <w:sz w:val="20"/>
          <w:szCs w:val="20"/>
          <w:color w:val="auto"/>
        </w:rPr>
      </w:pPr>
      <w:r>
        <w:rPr>
          <w:rFonts w:ascii="Times New Roman" w:cs="Times New Roman" w:eastAsia="Times New Roman" w:hAnsi="Times New Roman"/>
          <w:sz w:val="14"/>
          <w:szCs w:val="14"/>
          <w:color w:val="auto"/>
        </w:rPr>
        <w:t>For the three months ended June 30, 2023, impairment of in-process research and development and impairment of goodwill were $69.3 million and $11.9 million, respectively. The impairment was a result of the decline in stock value and market capitalization of the Company at June 30, 2023. There was no impairment for the three months ended June 30, 2024.</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3"/>
        </w:trPr>
        <w:tc>
          <w:tcPr>
            <w:tcW w:w="61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six months ended June 30, 2024 and the six months ended June 30, 2023</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320" w:type="dxa"/>
            <w:vAlign w:val="bottom"/>
            <w:gridSpan w:val="10"/>
          </w:tcPr>
          <w:p>
            <w:pPr>
              <w:ind w:left="480"/>
              <w:spacing w:after="0"/>
              <w:rPr>
                <w:sz w:val="20"/>
                <w:szCs w:val="20"/>
                <w:color w:val="auto"/>
              </w:rPr>
            </w:pPr>
            <w:r>
              <w:rPr>
                <w:rFonts w:ascii="Times New Roman" w:cs="Times New Roman" w:eastAsia="Times New Roman" w:hAnsi="Times New Roman"/>
                <w:sz w:val="14"/>
                <w:szCs w:val="14"/>
                <w:color w:val="auto"/>
                <w:w w:val="98"/>
              </w:rPr>
              <w:t>The following table summarizes our results of operations for the six months ended June 30, 2024 and for the six months ended June 30, 2023.</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3"/>
          </w:tcPr>
          <w:p>
            <w:pPr>
              <w:jc w:val="center"/>
              <w:ind w:left="611"/>
              <w:spacing w:after="0"/>
              <w:rPr>
                <w:sz w:val="20"/>
                <w:szCs w:val="20"/>
                <w:color w:val="auto"/>
              </w:rPr>
            </w:pPr>
            <w:r>
              <w:rPr>
                <w:rFonts w:ascii="Times New Roman" w:cs="Times New Roman" w:eastAsia="Times New Roman" w:hAnsi="Times New Roman"/>
                <w:sz w:val="14"/>
                <w:szCs w:val="14"/>
                <w:b w:val="1"/>
                <w:bCs w:val="1"/>
                <w:color w:val="auto"/>
                <w:w w:val="95"/>
              </w:rPr>
              <w:t>Favorable</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611"/>
              <w:spacing w:after="0"/>
              <w:rPr>
                <w:sz w:val="20"/>
                <w:szCs w:val="20"/>
                <w:color w:val="auto"/>
              </w:rPr>
            </w:pPr>
            <w:r>
              <w:rPr>
                <w:rFonts w:ascii="Times New Roman" w:cs="Times New Roman" w:eastAsia="Times New Roman" w:hAnsi="Times New Roman"/>
                <w:sz w:val="14"/>
                <w:szCs w:val="14"/>
                <w:b w:val="1"/>
                <w:bCs w:val="1"/>
                <w:color w:val="auto"/>
                <w:w w:val="97"/>
              </w:rPr>
              <w:t>(Unfavorable)</w:t>
            </w: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5"/>
                <w:szCs w:val="15"/>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340" w:type="dxa"/>
            <w:vAlign w:val="bottom"/>
          </w:tcPr>
          <w:p>
            <w:pPr>
              <w:spacing w:after="0"/>
              <w:rPr>
                <w:sz w:val="14"/>
                <w:szCs w:val="14"/>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80" w:type="dxa"/>
            <w:vAlign w:val="bottom"/>
          </w:tcPr>
          <w:p>
            <w:pPr>
              <w:spacing w:after="0"/>
              <w:rPr>
                <w:sz w:val="14"/>
                <w:szCs w:val="14"/>
                <w:color w:val="auto"/>
              </w:rPr>
            </w:pPr>
          </w:p>
        </w:tc>
        <w:tc>
          <w:tcPr>
            <w:tcW w:w="580" w:type="dxa"/>
            <w:vAlign w:val="bottom"/>
            <w:gridSpan w:val="2"/>
          </w:tcPr>
          <w:p>
            <w:pPr>
              <w:jc w:val="right"/>
              <w:ind w:right="323"/>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1,055</w:t>
            </w:r>
          </w:p>
        </w:tc>
        <w:tc>
          <w:tcPr>
            <w:tcW w:w="32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4,358</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3,107</w:t>
            </w:r>
          </w:p>
        </w:tc>
        <w:tc>
          <w:tcPr>
            <w:tcW w:w="3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Impairment of in-process research and development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69,280</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69,280</w:t>
            </w:r>
          </w:p>
        </w:tc>
        <w:tc>
          <w:tcPr>
            <w:tcW w:w="32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goodwill</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11,895</w:t>
            </w:r>
          </w:p>
        </w:tc>
        <w:tc>
          <w:tcPr>
            <w:tcW w:w="32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80" w:type="dxa"/>
            <w:vAlign w:val="bottom"/>
            <w:tcBorders>
              <w:top w:val="single" w:sz="8" w:color="CCEEFF"/>
              <w:bottom w:val="single" w:sz="8" w:color="CCEEFF"/>
            </w:tcBorders>
            <w:gridSpan w:val="2"/>
          </w:tcPr>
          <w:p>
            <w:pPr>
              <w:ind w:left="260"/>
              <w:spacing w:after="0" w:line="147" w:lineRule="exact"/>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5,580</w:t>
            </w:r>
          </w:p>
        </w:tc>
        <w:tc>
          <w:tcPr>
            <w:tcW w:w="34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90,917</w:t>
            </w:r>
          </w:p>
        </w:tc>
        <w:tc>
          <w:tcPr>
            <w:tcW w:w="18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CCEEFF"/>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85,337</w:t>
            </w:r>
          </w:p>
        </w:tc>
        <w:tc>
          <w:tcPr>
            <w:tcW w:w="340" w:type="dxa"/>
            <w:vAlign w:val="bottom"/>
            <w:tcBorders>
              <w:top w:val="single" w:sz="8" w:color="CCEEFF"/>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93.9</w:t>
            </w:r>
          </w:p>
        </w:tc>
        <w:tc>
          <w:tcPr>
            <w:tcW w:w="160" w:type="dxa"/>
            <w:vAlign w:val="bottom"/>
            <w:tcBorders>
              <w:top w:val="single" w:sz="8" w:color="CCEEFF"/>
              <w:bottom w:val="single" w:sz="8" w:color="CCEEFF"/>
            </w:tcBorders>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Loss from Operations</w:t>
            </w:r>
          </w:p>
        </w:tc>
        <w:tc>
          <w:tcPr>
            <w:tcW w:w="340" w:type="dxa"/>
            <w:vAlign w:val="bottom"/>
          </w:tcPr>
          <w:p>
            <w:pPr>
              <w:spacing w:after="0"/>
              <w:rPr>
                <w:sz w:val="14"/>
                <w:szCs w:val="14"/>
                <w:color w:val="auto"/>
              </w:rPr>
            </w:pPr>
          </w:p>
        </w:tc>
        <w:tc>
          <w:tcPr>
            <w:tcW w:w="146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(5,580)</w:t>
            </w:r>
          </w:p>
        </w:tc>
        <w:tc>
          <w:tcPr>
            <w:tcW w:w="3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(90,917)</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85,337</w:t>
            </w:r>
          </w:p>
        </w:tc>
        <w:tc>
          <w:tcPr>
            <w:tcW w:w="32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0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Pre-tax net loss</w:t>
            </w:r>
          </w:p>
        </w:tc>
        <w:tc>
          <w:tcPr>
            <w:tcW w:w="340" w:type="dxa"/>
            <w:vAlign w:val="bottom"/>
          </w:tcPr>
          <w:p>
            <w:pPr>
              <w:spacing w:after="0"/>
              <w:rPr>
                <w:sz w:val="14"/>
                <w:szCs w:val="14"/>
                <w:color w:val="auto"/>
              </w:rPr>
            </w:pPr>
          </w:p>
        </w:tc>
        <w:tc>
          <w:tcPr>
            <w:tcW w:w="146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(5,580)</w:t>
            </w:r>
          </w:p>
        </w:tc>
        <w:tc>
          <w:tcPr>
            <w:tcW w:w="3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(90,916)</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85,336</w:t>
            </w:r>
          </w:p>
        </w:tc>
        <w:tc>
          <w:tcPr>
            <w:tcW w:w="32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benefit</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(8,869)</w:t>
            </w:r>
          </w:p>
        </w:tc>
        <w:tc>
          <w:tcPr>
            <w:tcW w:w="32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Borders>
              <w:top w:val="single" w:sz="8" w:color="CCEEFF"/>
            </w:tcBorders>
            <w:gridSpan w:val="2"/>
          </w:tcPr>
          <w:p>
            <w:pPr>
              <w:spacing w:after="0" w:line="157" w:lineRule="exact"/>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(5,590</w:t>
            </w:r>
          </w:p>
        </w:tc>
        <w:tc>
          <w:tcPr>
            <w:tcW w:w="340" w:type="dxa"/>
            <w:vAlign w:val="bottom"/>
            <w:tcBorders>
              <w:top w:val="single" w:sz="8" w:color="CCEEFF"/>
            </w:tcBorders>
          </w:tcPr>
          <w:p>
            <w:pPr>
              <w:jc w:val="right"/>
              <w:ind w:right="211"/>
              <w:spacing w:after="0" w:line="157" w:lineRule="exact"/>
              <w:rPr>
                <w:sz w:val="20"/>
                <w:szCs w:val="20"/>
                <w:color w:val="auto"/>
              </w:rPr>
            </w:pPr>
            <w:r>
              <w:rPr>
                <w:rFonts w:ascii="Times New Roman" w:cs="Times New Roman" w:eastAsia="Times New Roman" w:hAnsi="Times New Roman"/>
                <w:sz w:val="14"/>
                <w:szCs w:val="14"/>
                <w:color w:val="auto"/>
                <w:w w:val="84"/>
              </w:rPr>
              <w:t>)</w:t>
            </w:r>
          </w:p>
        </w:tc>
        <w:tc>
          <w:tcPr>
            <w:tcW w:w="340" w:type="dxa"/>
            <w:vAlign w:val="bottom"/>
            <w:tcBorders>
              <w:top w:val="single" w:sz="8" w:color="auto"/>
            </w:tcBorders>
          </w:tcPr>
          <w:p>
            <w:pPr>
              <w:jc w:val="right"/>
              <w:ind w:right="19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(82,057</w:t>
            </w:r>
          </w:p>
        </w:tc>
        <w:tc>
          <w:tcPr>
            <w:tcW w:w="180" w:type="dxa"/>
            <w:vAlign w:val="bottom"/>
            <w:tcBorders>
              <w:top w:val="single" w:sz="8" w:color="CCEEFF"/>
            </w:tcBorders>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76,467</w:t>
            </w:r>
          </w:p>
        </w:tc>
        <w:tc>
          <w:tcPr>
            <w:tcW w:w="34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93.2</w:t>
            </w:r>
          </w:p>
        </w:tc>
        <w:tc>
          <w:tcPr>
            <w:tcW w:w="160" w:type="dxa"/>
            <w:vAlign w:val="bottom"/>
            <w:tcBorders>
              <w:top w:val="single" w:sz="8" w:color="CCEEFF"/>
            </w:tcBorders>
            <w:gridSpan w:val="2"/>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72" w:lineRule="exact"/>
        <w:rPr>
          <w:sz w:val="20"/>
          <w:szCs w:val="20"/>
          <w:color w:val="auto"/>
        </w:rPr>
      </w:pPr>
    </w:p>
    <w:p>
      <w:pPr>
        <w:jc w:val="both"/>
        <w:ind w:firstLine="497"/>
        <w:spacing w:after="0" w:line="261" w:lineRule="auto"/>
        <w:rPr>
          <w:sz w:val="20"/>
          <w:szCs w:val="20"/>
          <w:color w:val="auto"/>
        </w:rPr>
      </w:pPr>
      <w:r>
        <w:rPr>
          <w:rFonts w:ascii="Times New Roman" w:cs="Times New Roman" w:eastAsia="Times New Roman" w:hAnsi="Times New Roman"/>
          <w:sz w:val="14"/>
          <w:szCs w:val="14"/>
          <w:color w:val="auto"/>
        </w:rPr>
        <w:t>Research and development expenses were approximately $1.2 million for the six months ended June 30, 2024, a decrease of approximately $1.1 million or 46.3% from the six months ended June 30, 2023. The decrease is primarily attributable to a decrease of $0.8 million in the manufacturing and pre-clinical costs of IC 100 and a decrease of approximately $0.5 million in payroll expenses due to employee attrition. This was slightly offset by an increase of approximately $0.3 million in CRO expenses for the production of VAR 200.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72" w:lineRule="exact"/>
        <w:rPr>
          <w:sz w:val="20"/>
          <w:szCs w:val="20"/>
          <w:color w:val="auto"/>
        </w:rPr>
      </w:pPr>
    </w:p>
    <w:p>
      <w:pPr>
        <w:jc w:val="both"/>
        <w:ind w:firstLine="497"/>
        <w:spacing w:after="0" w:line="252" w:lineRule="auto"/>
        <w:rPr>
          <w:sz w:val="20"/>
          <w:szCs w:val="20"/>
          <w:color w:val="auto"/>
        </w:rPr>
      </w:pPr>
      <w:r>
        <w:rPr>
          <w:rFonts w:ascii="Times New Roman" w:cs="Times New Roman" w:eastAsia="Times New Roman" w:hAnsi="Times New Roman"/>
          <w:sz w:val="14"/>
          <w:szCs w:val="14"/>
          <w:color w:val="auto"/>
        </w:rPr>
        <w:t>General and administrative expenses were approximately $4.4 million for the six months ended June 30, 2024, a decrease of approximately $3.1 million or 41.6% from the six months ended June 30, 2023. The decrease is primarily attributable to $1.2 million of common stock granted to certain members of the Sponsor and recognized in 2023 in exchange for increasing the duration of the period during which they are not permitted to sell their common stock, a $0.5 million decrease in professional fees due to reduced fees related to changes in public auditors and legal counsel, a $0.2 million decrease in marketing costs for investor and public relations as a result of a reduction in marketing vendors in 2024, and $0.4 million decrease in payments for the Effectiveness Failure related to shares issued to investors pursuant to a securities purchase agreement in July 2022, a $0.3 million decrease in director and officer insurance due to reduced costs in the second year of being a public company, and $0.5 million decrease in payroll expenses as a result of a bonus accrual recognized upon board approval.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In-Process Research and Development and Goodwill</w:t>
      </w:r>
    </w:p>
    <w:p>
      <w:pPr>
        <w:spacing w:after="0" w:line="172" w:lineRule="exact"/>
        <w:rPr>
          <w:sz w:val="20"/>
          <w:szCs w:val="20"/>
          <w:color w:val="auto"/>
        </w:rPr>
      </w:pPr>
    </w:p>
    <w:p>
      <w:pPr>
        <w:jc w:val="both"/>
        <w:ind w:firstLine="497"/>
        <w:spacing w:after="0" w:line="276" w:lineRule="auto"/>
        <w:rPr>
          <w:sz w:val="20"/>
          <w:szCs w:val="20"/>
          <w:color w:val="auto"/>
        </w:rPr>
      </w:pPr>
      <w:r>
        <w:rPr>
          <w:rFonts w:ascii="Times New Roman" w:cs="Times New Roman" w:eastAsia="Times New Roman" w:hAnsi="Times New Roman"/>
          <w:sz w:val="14"/>
          <w:szCs w:val="14"/>
          <w:color w:val="auto"/>
        </w:rPr>
        <w:t>For the six months ended June 30, 2023, impairment of in-process research and development and impairment of goodwill were $69.3 million and $11.9 million, respectively. The impairment was a result of the decline in stock value and market capitalization of the Company at June 30, 2023. There was no impairment for the six months ended June 30, 2024.</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31"/>
        </w:trPr>
        <w:tc>
          <w:tcPr>
            <w:tcW w:w="10020" w:type="dxa"/>
            <w:vAlign w:val="bottom"/>
            <w:gridSpan w:val="10"/>
          </w:tcPr>
          <w:p>
            <w:pPr>
              <w:ind w:left="500"/>
              <w:spacing w:after="0"/>
              <w:rPr>
                <w:sz w:val="20"/>
                <w:szCs w:val="20"/>
                <w:color w:val="auto"/>
              </w:rPr>
            </w:pPr>
            <w:r>
              <w:rPr>
                <w:rFonts w:ascii="Times New Roman" w:cs="Times New Roman" w:eastAsia="Times New Roman" w:hAnsi="Times New Roman"/>
                <w:sz w:val="14"/>
                <w:szCs w:val="14"/>
                <w:color w:val="auto"/>
                <w:w w:val="98"/>
              </w:rPr>
              <w:t>The following table summarizes our cash flows from operating and financing activities for the six months ended June 30, 2024 and for the six months ended June 30, 2023:</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8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77"/>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8"/>
              </w:rPr>
              <w:t>(decrease)</w:t>
            </w:r>
          </w:p>
        </w:tc>
      </w:tr>
      <w:tr>
        <w:trPr>
          <w:trHeight w:val="166"/>
        </w:trPr>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w:t>
            </w:r>
          </w:p>
        </w:tc>
        <w:tc>
          <w:tcPr>
            <w:tcW w:w="2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66"/>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620" w:type="dxa"/>
            <w:vAlign w:val="bottom"/>
            <w:gridSpan w:val="2"/>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(5,691)</w:t>
            </w:r>
          </w:p>
        </w:tc>
        <w:tc>
          <w:tcPr>
            <w:tcW w:w="4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(4,997)</w:t>
            </w:r>
          </w:p>
        </w:tc>
        <w:tc>
          <w:tcPr>
            <w:tcW w:w="520" w:type="dxa"/>
            <w:vAlign w:val="bottom"/>
            <w:gridSpan w:val="2"/>
          </w:tcPr>
          <w:p>
            <w:pPr>
              <w:jc w:val="right"/>
              <w:ind w:right="383"/>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(694)</w:t>
            </w:r>
          </w:p>
        </w:tc>
      </w:tr>
      <w:tr>
        <w:trPr>
          <w:trHeight w:val="19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rPr>
              <w:t>2,673</w:t>
            </w: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(677)</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3,350</w:t>
            </w:r>
          </w:p>
        </w:tc>
        <w:tc>
          <w:tcPr>
            <w:tcW w:w="80" w:type="dxa"/>
            <w:vAlign w:val="bottom"/>
            <w:shd w:val="clear" w:color="auto" w:fill="CCEEFF"/>
          </w:tcPr>
          <w:p>
            <w:pPr>
              <w:spacing w:after="0"/>
              <w:rPr>
                <w:sz w:val="17"/>
                <w:szCs w:val="17"/>
                <w:color w:val="auto"/>
              </w:rPr>
            </w:pPr>
          </w:p>
        </w:tc>
      </w:tr>
      <w:tr>
        <w:trPr>
          <w:trHeight w:val="157"/>
        </w:trPr>
        <w:tc>
          <w:tcPr>
            <w:tcW w:w="5200" w:type="dxa"/>
            <w:vAlign w:val="bottom"/>
            <w:tcBorders>
              <w:top w:val="single" w:sz="8" w:color="CCEEFF"/>
            </w:tcBorders>
          </w:tcPr>
          <w:p>
            <w:pPr>
              <w:ind w:left="140"/>
              <w:spacing w:after="0" w:line="157" w:lineRule="exact"/>
              <w:rPr>
                <w:sz w:val="20"/>
                <w:szCs w:val="20"/>
                <w:color w:val="auto"/>
              </w:rPr>
            </w:pPr>
            <w:r>
              <w:rPr>
                <w:rFonts w:ascii="Times New Roman" w:cs="Times New Roman" w:eastAsia="Times New Roman" w:hAnsi="Times New Roman"/>
                <w:sz w:val="14"/>
                <w:szCs w:val="14"/>
                <w:color w:val="auto"/>
              </w:rPr>
              <w:t>Net Decrease in Cash</w:t>
            </w:r>
          </w:p>
        </w:tc>
        <w:tc>
          <w:tcPr>
            <w:tcW w:w="220" w:type="dxa"/>
            <w:vAlign w:val="bottom"/>
            <w:tcBorders>
              <w:top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25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(3,018</w:t>
            </w:r>
          </w:p>
        </w:tc>
        <w:tc>
          <w:tcPr>
            <w:tcW w:w="340" w:type="dxa"/>
            <w:vAlign w:val="bottom"/>
            <w:tcBorders>
              <w:top w:val="single" w:sz="8" w:color="CCEEFF"/>
            </w:tcBorders>
          </w:tcPr>
          <w:p>
            <w:pPr>
              <w:jc w:val="right"/>
              <w:ind w:right="211"/>
              <w:spacing w:after="0" w:line="157" w:lineRule="exact"/>
              <w:rPr>
                <w:sz w:val="20"/>
                <w:szCs w:val="20"/>
                <w:color w:val="auto"/>
              </w:rPr>
            </w:pPr>
            <w:r>
              <w:rPr>
                <w:rFonts w:ascii="Times New Roman" w:cs="Times New Roman" w:eastAsia="Times New Roman" w:hAnsi="Times New Roman"/>
                <w:sz w:val="14"/>
                <w:szCs w:val="14"/>
                <w:color w:val="auto"/>
                <w:w w:val="84"/>
              </w:rPr>
              <w:t>)</w:t>
            </w:r>
          </w:p>
        </w:tc>
        <w:tc>
          <w:tcPr>
            <w:tcW w:w="400" w:type="dxa"/>
            <w:vAlign w:val="bottom"/>
            <w:tcBorders>
              <w:top w:val="single" w:sz="8" w:color="auto"/>
              <w:bottom w:val="single" w:sz="8" w:color="auto"/>
            </w:tcBorders>
          </w:tcPr>
          <w:p>
            <w:pPr>
              <w:jc w:val="right"/>
              <w:ind w:right="251"/>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(5,674</w:t>
            </w:r>
          </w:p>
        </w:tc>
        <w:tc>
          <w:tcPr>
            <w:tcW w:w="340" w:type="dxa"/>
            <w:vAlign w:val="bottom"/>
            <w:tcBorders>
              <w:top w:val="single" w:sz="8" w:color="CCEEFF"/>
            </w:tcBorders>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2,656</w:t>
            </w:r>
          </w:p>
        </w:tc>
        <w:tc>
          <w:tcPr>
            <w:tcW w:w="2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 from Operating Activities</w:t>
      </w:r>
    </w:p>
    <w:p>
      <w:pPr>
        <w:spacing w:after="0" w:line="172" w:lineRule="exact"/>
        <w:rPr>
          <w:sz w:val="20"/>
          <w:szCs w:val="20"/>
          <w:color w:val="auto"/>
        </w:rPr>
      </w:pPr>
    </w:p>
    <w:p>
      <w:pPr>
        <w:jc w:val="both"/>
        <w:ind w:firstLine="497"/>
        <w:spacing w:after="0" w:line="256" w:lineRule="auto"/>
        <w:rPr>
          <w:sz w:val="20"/>
          <w:szCs w:val="20"/>
          <w:color w:val="auto"/>
        </w:rPr>
      </w:pPr>
      <w:r>
        <w:rPr>
          <w:rFonts w:ascii="Times New Roman" w:cs="Times New Roman" w:eastAsia="Times New Roman" w:hAnsi="Times New Roman"/>
          <w:sz w:val="14"/>
          <w:szCs w:val="14"/>
          <w:color w:val="auto"/>
        </w:rPr>
        <w:t>Net cash used in operating activities was approximately $5.7 million and approximately $5.0 million for the six months ended June 30, 2024 and 2023, respectively. For the six months ended June 30, 2024 and for the six months ended June 30, 2023, the net cash used in operating activities was primarily attributable to the net loss of approximately $5.6 million and $82.1 million, respectively, offset by $0.5 million and $74.8 million, respectively, of net non-cash expenses, and approximately ($0.6) million and $2.3 million, respectively, of cash (used in) generated by the levels of operating assets and liabilities,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Provided By (Used In) Financing Activities</w:t>
      </w:r>
    </w:p>
    <w:p>
      <w:pPr>
        <w:spacing w:after="0" w:line="172" w:lineRule="exact"/>
        <w:rPr>
          <w:sz w:val="20"/>
          <w:szCs w:val="20"/>
          <w:color w:val="auto"/>
        </w:rPr>
      </w:pPr>
    </w:p>
    <w:p>
      <w:pPr>
        <w:jc w:val="both"/>
        <w:ind w:firstLine="497"/>
        <w:spacing w:after="0" w:line="256" w:lineRule="auto"/>
        <w:rPr>
          <w:sz w:val="20"/>
          <w:szCs w:val="20"/>
          <w:color w:val="auto"/>
        </w:rPr>
      </w:pPr>
      <w:r>
        <w:rPr>
          <w:rFonts w:ascii="Times New Roman" w:cs="Times New Roman" w:eastAsia="Times New Roman" w:hAnsi="Times New Roman"/>
          <w:sz w:val="14"/>
          <w:szCs w:val="14"/>
          <w:color w:val="auto"/>
        </w:rPr>
        <w:t>Net cash provided by (used in) financing activities was $2.7 million and ($0.7) million for the six months ended June 30, 2024 and 2023, respectively. Cash provided by financing activities during the six months ended June 30, 2024 represented proceeds from the exercise of warrants. Cash used in financing activities during the six months ended June 30, 2023 primarily represented $10.5 million in cash paid for the redemption of Series A Preferred Stock and $1.2 million in registration and issuance costs associated with common stock issuances. This was partially offset by $11.0 million in proceeds from the issuance of common stock in a public offering.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table summarizes our total current assets, liabilities and working capital deficiency at June 30, 2024 and 2023,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258"/>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641</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3,353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tcBorders>
              <w:bottom w:val="single" w:sz="8" w:color="CCEEFF"/>
            </w:tcBorders>
            <w:gridSpan w:val="2"/>
            <w:vMerge w:val="continue"/>
          </w:tcPr>
          <w:p>
            <w:pPr>
              <w:spacing w:after="0"/>
              <w:rPr>
                <w:sz w:val="15"/>
                <w:szCs w:val="15"/>
                <w:color w:val="auto"/>
              </w:rPr>
            </w:pPr>
          </w:p>
        </w:tc>
        <w:tc>
          <w:tcPr>
            <w:tcW w:w="1380" w:type="dxa"/>
            <w:vAlign w:val="bottom"/>
            <w:tcBorders>
              <w:bottom w:val="single" w:sz="8" w:color="auto"/>
            </w:tcBorders>
          </w:tcPr>
          <w:p>
            <w:pPr>
              <w:jc w:val="right"/>
              <w:ind w:right="125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9,995</w:t>
            </w:r>
          </w:p>
        </w:tc>
        <w:tc>
          <w:tcPr>
            <w:tcW w:w="34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color w:val="auto"/>
              </w:rPr>
              <w:t>10,195</w:t>
            </w: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7020" w:type="dxa"/>
            <w:vAlign w:val="bottom"/>
            <w:tcBorders>
              <w:bottom w:val="single" w:sz="8" w:color="CCEEFF"/>
            </w:tcBorders>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Working Capital Deficiency</w:t>
            </w:r>
          </w:p>
        </w:tc>
        <w:tc>
          <w:tcPr>
            <w:tcW w:w="1380" w:type="dxa"/>
            <w:vAlign w:val="bottom"/>
            <w:tcBorders>
              <w:bottom w:val="single" w:sz="8" w:color="auto"/>
            </w:tcBorders>
            <w:shd w:val="clear" w:color="auto" w:fill="CCEEFF"/>
          </w:tcPr>
          <w:p>
            <w:pPr>
              <w:jc w:val="right"/>
              <w:ind w:right="125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(9,354</w:t>
            </w:r>
          </w:p>
        </w:tc>
        <w:tc>
          <w:tcPr>
            <w:tcW w:w="340" w:type="dxa"/>
            <w:vAlign w:val="bottom"/>
            <w:tcBorders>
              <w:bottom w:val="single" w:sz="8" w:color="CCEEFF"/>
            </w:tcBorders>
            <w:shd w:val="clear" w:color="auto" w:fill="CCEEFF"/>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(6,842</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497"/>
        <w:spacing w:after="0" w:line="256" w:lineRule="auto"/>
        <w:rPr>
          <w:sz w:val="20"/>
          <w:szCs w:val="20"/>
          <w:color w:val="auto"/>
        </w:rPr>
      </w:pPr>
      <w:r>
        <w:rPr>
          <w:rFonts w:ascii="Times New Roman" w:cs="Times New Roman" w:eastAsia="Times New Roman" w:hAnsi="Times New Roman"/>
          <w:sz w:val="14"/>
          <w:szCs w:val="14"/>
          <w:color w:val="auto"/>
        </w:rPr>
        <w:t>Since our inception in 2014 through June 30, 2024, we have not generated any revenue and have incurred significant operating losses and negative cash flows from our operations. Based on our current operating plan, we expect our cash of $0.1 million as of June 30, 2024 will only be sufficient to fund our operating expenses and capital expenditure requirements on a month-to-month basis. However,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172" w:lineRule="exact"/>
        <w:rPr>
          <w:sz w:val="20"/>
          <w:szCs w:val="20"/>
          <w:color w:val="auto"/>
        </w:rPr>
      </w:pPr>
    </w:p>
    <w:p>
      <w:pPr>
        <w:jc w:val="both"/>
        <w:ind w:firstLine="497"/>
        <w:spacing w:after="0" w:line="249" w:lineRule="auto"/>
        <w:rPr>
          <w:sz w:val="20"/>
          <w:szCs w:val="20"/>
          <w:color w:val="auto"/>
        </w:rPr>
      </w:pPr>
      <w:r>
        <w:rPr>
          <w:rFonts w:ascii="Times New Roman" w:cs="Times New Roman" w:eastAsia="Times New Roman" w:hAnsi="Times New Roman"/>
          <w:sz w:val="14"/>
          <w:szCs w:val="14"/>
          <w:color w:val="auto"/>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pre-revenue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our efforts to raise additional capital. These uncertainties raise substantial doubt about our ability to continue as a going concern for 12 months after the issuance date of our financial statements. The accompanying financial statements have been prepared on a going concern basis. The financial statements do not include any adjustments to reflect the possible future effects on the recoverability and classification of assets or the amounts and classification of liabilities that may result from the possible inability of us to continue as a going concern, which contemplates the continuation of operations, realization of assets and liquidation of liabilities in the ordinary course of business. We incurred a net loss of $5.6 million for the six months ended June 30, 2024 and a net loss of $82.1 million for the six months ended June 30, 2023, and we had an accumulated deficit of $108.8 million at June 30, 2024. We anticipate incurring additional losses until such time, if ever, that we can generate significant revenue from our product candidates currently in development. Our primary source of capital has been the issuance of debt and equity securities. We believe that current cash is only sufficient to fund operations and capital requirements on a month-to-month basis. Additional financing will be needed by us to fund our operations, to complete development of and to commercially develop our product candidates. There is no assurance that such financing will be available when needed or on acceptable terms.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Contractual Obligations</w:t>
      </w:r>
    </w:p>
    <w:p>
      <w:pPr>
        <w:spacing w:after="0" w:line="172" w:lineRule="exact"/>
        <w:rPr>
          <w:sz w:val="20"/>
          <w:szCs w:val="20"/>
          <w:color w:val="auto"/>
        </w:rPr>
      </w:pPr>
    </w:p>
    <w:p>
      <w:pPr>
        <w:jc w:val="both"/>
        <w:ind w:firstLine="497"/>
        <w:spacing w:after="0" w:line="276" w:lineRule="auto"/>
        <w:rPr>
          <w:sz w:val="20"/>
          <w:szCs w:val="20"/>
          <w:color w:val="auto"/>
        </w:rPr>
      </w:pPr>
      <w:r>
        <w:rPr>
          <w:rFonts w:ascii="Times New Roman" w:cs="Times New Roman" w:eastAsia="Times New Roman" w:hAnsi="Times New Roman"/>
          <w:sz w:val="14"/>
          <w:szCs w:val="14"/>
          <w:color w:val="auto"/>
        </w:rPr>
        <w:t>The following summarizes our contractual obligations as of June 30, 2024 that will affect our future liquidity. Based on our current operating plan, we plan to satisfy the obligations identified below from our current cash balance and future financing.</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Cash requirements for our current liabilities as of June 30, 2024 include approximately $10.0 million for accounts payable and accrued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Capital Needs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intend to raise additional capital in the future to fund continued development of VAR200 and IC100.</w:t>
      </w:r>
    </w:p>
    <w:p>
      <w:pPr>
        <w:spacing w:after="0" w:line="170" w:lineRule="exact"/>
        <w:rPr>
          <w:sz w:val="20"/>
          <w:szCs w:val="20"/>
          <w:color w:val="auto"/>
        </w:rPr>
      </w:pPr>
    </w:p>
    <w:p>
      <w:pPr>
        <w:jc w:val="both"/>
        <w:ind w:firstLine="497"/>
        <w:spacing w:after="0" w:line="282" w:lineRule="auto"/>
        <w:rPr>
          <w:sz w:val="20"/>
          <w:szCs w:val="20"/>
          <w:color w:val="auto"/>
        </w:rPr>
      </w:pPr>
      <w:r>
        <w:rPr>
          <w:rFonts w:ascii="Times New Roman" w:cs="Times New Roman" w:eastAsia="Times New Roman" w:hAnsi="Times New Roman"/>
          <w:sz w:val="13"/>
          <w:szCs w:val="13"/>
          <w:color w:val="auto"/>
        </w:rPr>
        <w:t>We expect to raise additional capital by issuing equity, equity-linked securities, or debt in subsequent offerings. If we are unable to raise additional capital on terms favorable to us, we may not have sufficient liquidity to execute on our business strategy. We have various warrants outstanding that can be exercised for our common stock, many of which must be exercised in exchange for cash paid to us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spacing w:after="0" w:line="125" w:lineRule="exact"/>
        <w:rPr>
          <w:sz w:val="20"/>
          <w:szCs w:val="20"/>
          <w:color w:val="auto"/>
        </w:rPr>
      </w:pPr>
    </w:p>
    <w:p>
      <w:pPr>
        <w:jc w:val="both"/>
        <w:ind w:firstLine="497"/>
        <w:spacing w:after="0" w:line="276" w:lineRule="auto"/>
        <w:rPr>
          <w:sz w:val="20"/>
          <w:szCs w:val="20"/>
          <w:color w:val="auto"/>
        </w:rPr>
      </w:pPr>
      <w:r>
        <w:rPr>
          <w:rFonts w:ascii="Times New Roman" w:cs="Times New Roman" w:eastAsia="Times New Roman" w:hAnsi="Times New Roman"/>
          <w:sz w:val="14"/>
          <w:szCs w:val="14"/>
          <w:color w:val="auto"/>
        </w:rPr>
        <w:t>Our policy is to invest any cash in excess of our immediate requirements in investments designed to preserve the principal balance and provide liquidity while producing a modest return on investment. Accordingly, our cash equivalents will be invested primarily in money market funds.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22" w:name="page23"/>
    <w:bookmarkEnd w:id="22"/>
    <w:p>
      <w:pPr>
        <w:jc w:val="both"/>
        <w:ind w:firstLine="497"/>
        <w:spacing w:after="0" w:line="256" w:lineRule="auto"/>
        <w:rPr>
          <w:sz w:val="20"/>
          <w:szCs w:val="20"/>
          <w:color w:val="auto"/>
        </w:rPr>
      </w:pPr>
      <w:r>
        <w:rPr>
          <w:rFonts w:ascii="Times New Roman" w:cs="Times New Roman" w:eastAsia="Times New Roman" w:hAnsi="Times New Roman"/>
          <w:sz w:val="14"/>
          <w:szCs w:val="14"/>
          <w:color w:val="auto"/>
        </w:rPr>
        <w:t>We expect to continue to incur substantial additional operating losses for at least the next several years as we continue to develop our product candidates and seek marketing approval and, subject to obtaining such approval, the eventual commercialization of our product candidates. If we obtain marketing approval for our product candidates, we will incur significant sales, marketing and outsourced manufacturing expenses. In addition, we expect to incur additional expenses to add operational, financial and information systems and personnel, including personnel to support our planned product commercialization efforts. We also expect to incur significant costs to comply with corporate governance, internal controls and similar requirements applicable to us as a public company.</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future use of operating cash and capital requirements will depend on many forward-looking factors, including the following:</w:t>
      </w:r>
    </w:p>
    <w:p>
      <w:pPr>
        <w:spacing w:after="0" w:line="170" w:lineRule="exact"/>
        <w:rPr>
          <w:sz w:val="20"/>
          <w:szCs w:val="20"/>
          <w:color w:val="auto"/>
        </w:rPr>
      </w:pPr>
    </w:p>
    <w:p>
      <w:pPr>
        <w:ind w:left="1000" w:hanging="500"/>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progress, timing, costs and results of clinical trials for our product candidates;</w:t>
      </w:r>
    </w:p>
    <w:p>
      <w:pPr>
        <w:spacing w:after="0" w:line="19"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development plans we establish for each product candidate;</w:t>
      </w:r>
    </w:p>
    <w:p>
      <w:pPr>
        <w:spacing w:after="0" w:line="4"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that we develop or may in-license;</w:t>
      </w:r>
    </w:p>
    <w:p>
      <w:pPr>
        <w:spacing w:after="0" w:line="4"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collaboration agreements we may choose to execute;</w:t>
      </w:r>
    </w:p>
    <w:p>
      <w:pPr>
        <w:spacing w:after="0" w:line="4"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meeting regulatory requirements established by the FDA or other comparable foreign regulatory authorities;</w:t>
      </w:r>
    </w:p>
    <w:p>
      <w:pPr>
        <w:spacing w:after="0" w:line="4"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filing, prosecuting, defending and enforcing our patent claims and other intellectual property rights;</w:t>
      </w:r>
    </w:p>
    <w:p>
      <w:pPr>
        <w:spacing w:after="0" w:line="4"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defending intellectual property disputes, including patent infringement actions brought by third parties against us;</w:t>
      </w:r>
    </w:p>
    <w:p>
      <w:pPr>
        <w:spacing w:after="0" w:line="4" w:lineRule="exact"/>
        <w:rPr>
          <w:rFonts w:ascii="Times New Roman" w:cs="Times New Roman" w:eastAsia="Times New Roman" w:hAnsi="Times New Roman"/>
          <w:sz w:val="14"/>
          <w:szCs w:val="14"/>
          <w:color w:val="auto"/>
        </w:rPr>
      </w:pPr>
    </w:p>
    <w:p>
      <w:pPr>
        <w:ind w:left="1000" w:hanging="500"/>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the implementation of commercial scale manufacturing activities; and</w:t>
      </w:r>
    </w:p>
    <w:p>
      <w:pPr>
        <w:spacing w:after="0" w:line="4" w:lineRule="exact"/>
        <w:rPr>
          <w:rFonts w:ascii="Times New Roman" w:cs="Times New Roman" w:eastAsia="Times New Roman" w:hAnsi="Times New Roman"/>
          <w:sz w:val="14"/>
          <w:szCs w:val="14"/>
          <w:color w:val="auto"/>
        </w:rPr>
      </w:pPr>
    </w:p>
    <w:p>
      <w:pPr>
        <w:ind w:left="1000" w:hanging="500"/>
        <w:spacing w:after="0" w:line="253" w:lineRule="auto"/>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establishing, or outsourcing, sales, marketing and distribution capabilities for any product candidates for which we may receive regulatory approval in regions where we choose to commercialize our products on our own.</w:t>
      </w:r>
    </w:p>
    <w:p>
      <w:pPr>
        <w:spacing w:after="0" w:line="142" w:lineRule="exact"/>
        <w:rPr>
          <w:sz w:val="20"/>
          <w:szCs w:val="20"/>
          <w:color w:val="auto"/>
        </w:rPr>
      </w:pPr>
    </w:p>
    <w:p>
      <w:pPr>
        <w:jc w:val="both"/>
        <w:ind w:firstLine="497"/>
        <w:spacing w:after="0" w:line="250" w:lineRule="auto"/>
        <w:rPr>
          <w:sz w:val="20"/>
          <w:szCs w:val="20"/>
          <w:color w:val="auto"/>
        </w:rPr>
      </w:pPr>
      <w:r>
        <w:rPr>
          <w:rFonts w:ascii="Times New Roman" w:cs="Times New Roman" w:eastAsia="Times New Roman" w:hAnsi="Times New Roman"/>
          <w:sz w:val="14"/>
          <w:szCs w:val="14"/>
          <w:color w:val="auto"/>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 Strategic transactions may require us to raise additional capital through one or more public or private debt or equity financings or could be structured as a collaboration or partnering arrangement. We have no arrangements, agreements, or understandings in place at the present time to enter into any acquisition, in-licensing or similar strategic business transaction. In addition, we continue to evaluate commercial collaborations and strategic relationships with established pharmaceutical companies, which would provide us with more immediate access to marketing, sales, market access and distribution infrastructure.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23" w:name="page24"/>
    <w:bookmarkEnd w:id="23"/>
    <w:p>
      <w:pPr>
        <w:jc w:val="both"/>
        <w:ind w:firstLine="497"/>
        <w:spacing w:after="0" w:line="254" w:lineRule="auto"/>
        <w:rPr>
          <w:sz w:val="20"/>
          <w:szCs w:val="20"/>
          <w:color w:val="auto"/>
        </w:rPr>
      </w:pPr>
      <w:r>
        <w:rPr>
          <w:rFonts w:ascii="Times New Roman" w:cs="Times New Roman" w:eastAsia="Times New Roman" w:hAnsi="Times New Roman"/>
          <w:sz w:val="14"/>
          <w:szCs w:val="14"/>
          <w:color w:val="auto"/>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JOBS Act Accounting Election</w:t>
      </w:r>
    </w:p>
    <w:p>
      <w:pPr>
        <w:spacing w:after="0" w:line="172" w:lineRule="exact"/>
        <w:rPr>
          <w:sz w:val="20"/>
          <w:szCs w:val="20"/>
          <w:color w:val="auto"/>
        </w:rPr>
      </w:pPr>
    </w:p>
    <w:p>
      <w:pPr>
        <w:jc w:val="both"/>
        <w:ind w:firstLine="497"/>
        <w:spacing w:after="0" w:line="254" w:lineRule="auto"/>
        <w:rPr>
          <w:sz w:val="20"/>
          <w:szCs w:val="20"/>
          <w:color w:val="auto"/>
        </w:rPr>
      </w:pPr>
      <w:r>
        <w:rPr>
          <w:rFonts w:ascii="Times New Roman" w:cs="Times New Roman" w:eastAsia="Times New Roman" w:hAnsi="Times New Roman"/>
          <w:sz w:val="14"/>
          <w:szCs w:val="14"/>
          <w:color w:val="auto"/>
        </w:rPr>
        <w:t>ZyVersa is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would apply to private companies. ZyVersa expects to use this extended transition period to enable it to comply with new or revised accounting standards that have different effective dates for public and private companies until the earlier of the date the Company (1) is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addition, the Company intends to rely on the other exemptions and reduced reporting requirements provided by the JOBS 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72" w:lineRule="exact"/>
        <w:rPr>
          <w:sz w:val="20"/>
          <w:szCs w:val="20"/>
          <w:color w:val="auto"/>
        </w:rPr>
      </w:pPr>
    </w:p>
    <w:p>
      <w:pPr>
        <w:jc w:val="both"/>
        <w:ind w:firstLine="497"/>
        <w:spacing w:after="0" w:line="276" w:lineRule="auto"/>
        <w:rPr>
          <w:sz w:val="20"/>
          <w:szCs w:val="20"/>
          <w:color w:val="auto"/>
        </w:rPr>
      </w:pPr>
      <w:r>
        <w:rPr>
          <w:rFonts w:ascii="Times New Roman" w:cs="Times New Roman" w:eastAsia="Times New Roman" w:hAnsi="Times New Roman"/>
          <w:sz w:val="14"/>
          <w:szCs w:val="14"/>
          <w:color w:val="auto"/>
        </w:rPr>
        <w:t>There are no off-balance sheet arrangements between us and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72" w:lineRule="exact"/>
        <w:rPr>
          <w:sz w:val="20"/>
          <w:szCs w:val="20"/>
          <w:color w:val="auto"/>
        </w:rPr>
      </w:pPr>
    </w:p>
    <w:p>
      <w:pPr>
        <w:jc w:val="both"/>
        <w:ind w:firstLine="497"/>
        <w:spacing w:after="0" w:line="254" w:lineRule="auto"/>
        <w:rPr>
          <w:sz w:val="20"/>
          <w:szCs w:val="20"/>
          <w:color w:val="auto"/>
        </w:rPr>
      </w:pPr>
      <w:r>
        <w:rPr>
          <w:rFonts w:ascii="Times New Roman" w:cs="Times New Roman" w:eastAsia="Times New Roman" w:hAnsi="Times New Roman"/>
          <w:sz w:val="14"/>
          <w:szCs w:val="14"/>
          <w:color w:val="auto"/>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42" w:lineRule="exact"/>
        <w:rPr>
          <w:sz w:val="20"/>
          <w:szCs w:val="20"/>
          <w:color w:val="auto"/>
        </w:rPr>
      </w:pPr>
    </w:p>
    <w:p>
      <w:pPr>
        <w:jc w:val="both"/>
        <w:ind w:firstLine="497"/>
        <w:spacing w:after="0" w:line="261" w:lineRule="auto"/>
        <w:rPr>
          <w:sz w:val="20"/>
          <w:szCs w:val="20"/>
          <w:color w:val="auto"/>
        </w:rPr>
      </w:pPr>
      <w:r>
        <w:rPr>
          <w:rFonts w:ascii="Times New Roman" w:cs="Times New Roman" w:eastAsia="Times New Roman" w:hAnsi="Times New Roman"/>
          <w:sz w:val="14"/>
          <w:szCs w:val="14"/>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financial statements that require estimation but are not deemed critical, as defined above.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 applicable.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172" w:lineRule="exact"/>
        <w:rPr>
          <w:sz w:val="20"/>
          <w:szCs w:val="20"/>
          <w:color w:val="auto"/>
        </w:rPr>
      </w:pPr>
    </w:p>
    <w:p>
      <w:pPr>
        <w:jc w:val="both"/>
        <w:ind w:firstLine="497"/>
        <w:spacing w:after="0" w:line="254" w:lineRule="auto"/>
        <w:rPr>
          <w:sz w:val="20"/>
          <w:szCs w:val="20"/>
          <w:color w:val="auto"/>
        </w:rPr>
      </w:pPr>
      <w:r>
        <w:rPr>
          <w:rFonts w:ascii="Times New Roman" w:cs="Times New Roman" w:eastAsia="Times New Roman" w:hAnsi="Times New Roman"/>
          <w:sz w:val="14"/>
          <w:szCs w:val="14"/>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spacing w:after="0" w:line="142" w:lineRule="exact"/>
        <w:rPr>
          <w:sz w:val="20"/>
          <w:szCs w:val="20"/>
          <w:color w:val="auto"/>
        </w:rPr>
      </w:pPr>
    </w:p>
    <w:p>
      <w:pPr>
        <w:jc w:val="both"/>
        <w:ind w:firstLine="497"/>
        <w:spacing w:after="0" w:line="261" w:lineRule="auto"/>
        <w:rPr>
          <w:sz w:val="20"/>
          <w:szCs w:val="20"/>
          <w:color w:val="auto"/>
        </w:rPr>
      </w:pPr>
      <w:r>
        <w:rPr>
          <w:rFonts w:ascii="Times New Roman" w:cs="Times New Roman" w:eastAsia="Times New Roman" w:hAnsi="Times New Roman"/>
          <w:sz w:val="14"/>
          <w:szCs w:val="14"/>
          <w:color w:val="auto"/>
        </w:rPr>
        <w:t>As required by Rules 13a-15 and 15d-15 under the Exchange Act, our Chief Executive Officer and Chief Financial Officer carried out an evaluation of the effectiveness of the design and operation of our disclosure controls and procedures as of June 30, 2024. Based upon their evaluation and due to the material weakness cited below, our Chief Executive Officer and Chief Financial Officer concluded that our disclosure controls and procedures (as defined in Rules 13a-15(e) and 15d-15(e) under the Exchange Act) were ineffective.</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Specifically, management’s conclusion was based on the following material weakness which existed as of December 31, 2023 and June 30, 2024:</w:t>
      </w:r>
    </w:p>
    <w:p>
      <w:pPr>
        <w:spacing w:after="0" w:line="170" w:lineRule="exact"/>
        <w:rPr>
          <w:sz w:val="20"/>
          <w:szCs w:val="20"/>
          <w:color w:val="auto"/>
        </w:rPr>
      </w:pPr>
    </w:p>
    <w:p>
      <w:pPr>
        <w:ind w:left="500" w:hanging="249"/>
        <w:spacing w:after="0" w:line="276" w:lineRule="auto"/>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process controls across the entity’s financial reporting processes were not effectively designed and implemented to properly address the risk of material misstatement, including controls without proper segregation of duties between preparer and reviewer</w:t>
      </w:r>
    </w:p>
    <w:p>
      <w:pPr>
        <w:spacing w:after="0" w:line="127" w:lineRule="exact"/>
        <w:rPr>
          <w:sz w:val="20"/>
          <w:szCs w:val="20"/>
          <w:color w:val="auto"/>
        </w:rPr>
      </w:pPr>
    </w:p>
    <w:p>
      <w:pPr>
        <w:jc w:val="both"/>
        <w:ind w:firstLine="497"/>
        <w:spacing w:after="0" w:line="276" w:lineRule="auto"/>
        <w:rPr>
          <w:sz w:val="20"/>
          <w:szCs w:val="20"/>
          <w:color w:val="auto"/>
        </w:rPr>
      </w:pPr>
      <w:r>
        <w:rPr>
          <w:rFonts w:ascii="Times New Roman" w:cs="Times New Roman" w:eastAsia="Times New Roman" w:hAnsi="Times New Roman"/>
          <w:sz w:val="14"/>
          <w:szCs w:val="14"/>
          <w:color w:val="auto"/>
        </w:rPr>
        <w:t>Our management is committed to taking further action and implementing necessary enhancements or improvements, including actions to address the material weakness identified as of December 31, 2023. Management expects to complete the development and implementation of its remediation plan during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72" w:lineRule="exact"/>
        <w:rPr>
          <w:sz w:val="20"/>
          <w:szCs w:val="20"/>
          <w:color w:val="auto"/>
        </w:rPr>
      </w:pPr>
    </w:p>
    <w:p>
      <w:pPr>
        <w:jc w:val="both"/>
        <w:ind w:firstLine="497"/>
        <w:spacing w:after="0" w:line="261" w:lineRule="auto"/>
        <w:rPr>
          <w:sz w:val="20"/>
          <w:szCs w:val="20"/>
          <w:color w:val="auto"/>
        </w:rPr>
      </w:pPr>
      <w:r>
        <w:rPr>
          <w:rFonts w:ascii="Times New Roman" w:cs="Times New Roman" w:eastAsia="Times New Roman" w:hAnsi="Times New Roman"/>
          <w:sz w:val="14"/>
          <w:szCs w:val="14"/>
          <w:color w:val="auto"/>
        </w:rPr>
        <w:t>During the most recent fiscal quarter, management has implemented additional controls to address the material weakness identified as of December 31, 2023. This includes the implementation of proper segregation of duties controls between preparer and reviewer. However, the material weakness will not be deemed to be remediated until the controls have been operational for a period of time and have been verified to be operating effectively.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of the Effectiveness of Controls</w:t>
      </w:r>
    </w:p>
    <w:p>
      <w:pPr>
        <w:spacing w:after="0" w:line="172" w:lineRule="exact"/>
        <w:rPr>
          <w:sz w:val="20"/>
          <w:szCs w:val="20"/>
          <w:color w:val="auto"/>
        </w:rPr>
      </w:pPr>
    </w:p>
    <w:p>
      <w:pPr>
        <w:jc w:val="both"/>
        <w:ind w:firstLine="497"/>
        <w:spacing w:after="0" w:line="261" w:lineRule="auto"/>
        <w:rPr>
          <w:sz w:val="20"/>
          <w:szCs w:val="20"/>
          <w:color w:val="auto"/>
        </w:rPr>
      </w:pPr>
      <w:r>
        <w:rPr>
          <w:rFonts w:ascii="Times New Roman" w:cs="Times New Roman" w:eastAsia="Times New Roman" w:hAnsi="Times New Roman"/>
          <w:sz w:val="14"/>
          <w:szCs w:val="14"/>
          <w:color w:val="auto"/>
        </w:rPr>
        <w:t>Management does not expect that our disclosure controls and procedures or our internal control over financial reporting will prevent or detect all error and fraud. A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2" w:lineRule="exact"/>
        <w:rPr>
          <w:sz w:val="20"/>
          <w:szCs w:val="20"/>
          <w:color w:val="auto"/>
        </w:rPr>
      </w:pPr>
    </w:p>
    <w:p>
      <w:pPr>
        <w:ind w:firstLine="497"/>
        <w:spacing w:after="0" w:line="276" w:lineRule="auto"/>
        <w:rPr>
          <w:sz w:val="20"/>
          <w:szCs w:val="20"/>
          <w:color w:val="auto"/>
        </w:rPr>
      </w:pPr>
      <w:r>
        <w:rPr>
          <w:rFonts w:ascii="Times New Roman" w:cs="Times New Roman" w:eastAsia="Times New Roman" w:hAnsi="Times New Roman"/>
          <w:sz w:val="14"/>
          <w:szCs w:val="14"/>
          <w:color w:val="auto"/>
        </w:rPr>
        <w:t>As a “smaller reporting company”, we are not required to provide information required by this Item. However, investors are encouraged to review our current risk factors set forth in our Annual Report on Form 10-K for the year ended December 31, 2023, filed with the SEC on March 25, 2024, as amended on May 15,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 applicable.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Trading Plans</w:t>
      </w:r>
    </w:p>
    <w:p>
      <w:pPr>
        <w:spacing w:after="0" w:line="172" w:lineRule="exact"/>
        <w:rPr>
          <w:sz w:val="20"/>
          <w:szCs w:val="20"/>
          <w:color w:val="auto"/>
        </w:rPr>
      </w:pPr>
    </w:p>
    <w:p>
      <w:pPr>
        <w:ind w:firstLine="497"/>
        <w:spacing w:after="0" w:line="276" w:lineRule="auto"/>
        <w:rPr>
          <w:sz w:val="20"/>
          <w:szCs w:val="20"/>
          <w:color w:val="auto"/>
        </w:rPr>
      </w:pPr>
      <w:r>
        <w:rPr>
          <w:rFonts w:ascii="Times New Roman" w:cs="Times New Roman" w:eastAsia="Times New Roman" w:hAnsi="Times New Roman"/>
          <w:sz w:val="14"/>
          <w:szCs w:val="14"/>
          <w:color w:val="auto"/>
        </w:rPr>
        <w:t>During the six months ended June 30, 2024,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35"/>
        </w:trPr>
        <w:tc>
          <w:tcPr>
            <w:tcW w:w="20" w:type="dxa"/>
            <w:vAlign w:val="bottom"/>
          </w:tcPr>
          <w:p>
            <w:pPr>
              <w:spacing w:after="0"/>
              <w:rPr>
                <w:sz w:val="11"/>
                <w:szCs w:val="11"/>
                <w:color w:val="auto"/>
              </w:rPr>
            </w:pPr>
          </w:p>
        </w:tc>
        <w:tc>
          <w:tcPr>
            <w:tcW w:w="72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1"/>
                <w:szCs w:val="11"/>
                <w:color w:val="auto"/>
              </w:rPr>
            </w:pPr>
          </w:p>
        </w:tc>
        <w:tc>
          <w:tcPr>
            <w:tcW w:w="10440" w:type="dxa"/>
            <w:vAlign w:val="bottom"/>
            <w:tcBorders>
              <w:top w:val="single" w:sz="8" w:color="auto"/>
            </w:tcBorders>
            <w:gridSpan w:val="8"/>
          </w:tcPr>
          <w:p>
            <w:pPr>
              <w:spacing w:after="0" w:line="135" w:lineRule="exact"/>
              <w:rPr>
                <w:sz w:val="20"/>
                <w:szCs w:val="20"/>
                <w:color w:val="auto"/>
              </w:rPr>
            </w:pPr>
            <w:r>
              <w:rPr>
                <w:rFonts w:ascii="Times New Roman" w:cs="Times New Roman" w:eastAsia="Times New Roman" w:hAnsi="Times New Roman"/>
                <w:sz w:val="14"/>
                <w:szCs w:val="14"/>
                <w:color w:val="0000EE"/>
              </w:rPr>
              <w:t>Seconded Amended and Restated Certificate of Incorporation of ZyVersa Therapeutics, Inc., as amended.</w:t>
            </w:r>
          </w:p>
        </w:tc>
      </w:tr>
      <w:tr>
        <w:trPr>
          <w:trHeight w:val="20"/>
        </w:trPr>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6"/>
        </w:trPr>
        <w:tc>
          <w:tcPr>
            <w:tcW w:w="7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2"/>
                <w:szCs w:val="12"/>
                <w:color w:val="auto"/>
              </w:rPr>
            </w:pPr>
          </w:p>
        </w:tc>
        <w:tc>
          <w:tcPr>
            <w:tcW w:w="8600" w:type="dxa"/>
            <w:vAlign w:val="bottom"/>
            <w:tcBorders>
              <w:bottom w:val="single" w:sz="8" w:color="0000EE"/>
            </w:tcBorders>
            <w:gridSpan w:val="5"/>
          </w:tcPr>
          <w:p>
            <w:pPr>
              <w:spacing w:after="0" w:line="146" w:lineRule="exact"/>
              <w:rPr>
                <w:rFonts w:ascii="Times New Roman" w:cs="Times New Roman" w:eastAsia="Times New Roman" w:hAnsi="Times New Roman"/>
                <w:sz w:val="14"/>
                <w:szCs w:val="14"/>
                <w:color w:val="0000EE"/>
                <w:w w:val="98"/>
              </w:rPr>
            </w:pPr>
            <w:hyperlink r:id="rId35">
              <w:r>
                <w:rPr>
                  <w:rFonts w:ascii="Times New Roman" w:cs="Times New Roman" w:eastAsia="Times New Roman" w:hAnsi="Times New Roman"/>
                  <w:sz w:val="14"/>
                  <w:szCs w:val="14"/>
                  <w:color w:val="0000EE"/>
                  <w:w w:val="98"/>
                </w:rPr>
                <w:t>Form of Series A-1 Warrant (incorporated by reference to Exhibit 4.1 of the Company’s current report on Form 8-K filed with the SEC on August 1, 2024).</w:t>
              </w:r>
            </w:hyperlink>
          </w:p>
        </w:tc>
        <w:tc>
          <w:tcPr>
            <w:tcW w:w="1840" w:type="dxa"/>
            <w:vAlign w:val="bottom"/>
            <w:gridSpan w:val="3"/>
          </w:tcPr>
          <w:p>
            <w:pPr>
              <w:spacing w:after="0"/>
              <w:rPr>
                <w:sz w:val="12"/>
                <w:szCs w:val="12"/>
                <w:color w:val="auto"/>
              </w:rPr>
            </w:pPr>
          </w:p>
        </w:tc>
      </w:tr>
      <w:tr>
        <w:trPr>
          <w:trHeight w:val="146"/>
        </w:trPr>
        <w:tc>
          <w:tcPr>
            <w:tcW w:w="7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8580" w:type="dxa"/>
            <w:vAlign w:val="bottom"/>
            <w:tcBorders>
              <w:bottom w:val="single" w:sz="8" w:color="0000EE"/>
            </w:tcBorders>
            <w:gridSpan w:val="4"/>
          </w:tcPr>
          <w:p>
            <w:pPr>
              <w:spacing w:after="0" w:line="146" w:lineRule="exact"/>
              <w:rPr>
                <w:rFonts w:ascii="Times New Roman" w:cs="Times New Roman" w:eastAsia="Times New Roman" w:hAnsi="Times New Roman"/>
                <w:sz w:val="14"/>
                <w:szCs w:val="14"/>
                <w:color w:val="0000EE"/>
                <w:w w:val="98"/>
              </w:rPr>
            </w:pPr>
            <w:hyperlink r:id="rId36">
              <w:r>
                <w:rPr>
                  <w:rFonts w:ascii="Times New Roman" w:cs="Times New Roman" w:eastAsia="Times New Roman" w:hAnsi="Times New Roman"/>
                  <w:sz w:val="14"/>
                  <w:szCs w:val="14"/>
                  <w:color w:val="0000EE"/>
                  <w:w w:val="98"/>
                </w:rPr>
                <w:t>Form of Series B-1 Warrant (incorporated by reference to Exhibit 4.2 of the Company’s current report on Form 8-K filed with the SEC on August 1, 2024).</w:t>
              </w:r>
            </w:hyperlink>
          </w:p>
        </w:tc>
        <w:tc>
          <w:tcPr>
            <w:tcW w:w="1860" w:type="dxa"/>
            <w:vAlign w:val="bottom"/>
            <w:gridSpan w:val="4"/>
          </w:tcPr>
          <w:p>
            <w:pPr>
              <w:spacing w:after="0"/>
              <w:rPr>
                <w:sz w:val="12"/>
                <w:szCs w:val="12"/>
                <w:color w:val="auto"/>
              </w:rPr>
            </w:pPr>
          </w:p>
        </w:tc>
      </w:tr>
      <w:tr>
        <w:trPr>
          <w:trHeight w:val="146"/>
        </w:trPr>
        <w:tc>
          <w:tcPr>
            <w:tcW w:w="7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2"/>
                <w:szCs w:val="12"/>
                <w:color w:val="auto"/>
              </w:rPr>
            </w:pPr>
          </w:p>
        </w:tc>
        <w:tc>
          <w:tcPr>
            <w:tcW w:w="10440" w:type="dxa"/>
            <w:vAlign w:val="bottom"/>
            <w:gridSpan w:val="8"/>
          </w:tcPr>
          <w:p>
            <w:pPr>
              <w:spacing w:after="0" w:line="146" w:lineRule="exact"/>
              <w:rPr>
                <w:rFonts w:ascii="Times New Roman" w:cs="Times New Roman" w:eastAsia="Times New Roman" w:hAnsi="Times New Roman"/>
                <w:sz w:val="14"/>
                <w:szCs w:val="14"/>
                <w:color w:val="0000EE"/>
              </w:rPr>
            </w:pPr>
            <w:hyperlink r:id="rId37">
              <w:r>
                <w:rPr>
                  <w:rFonts w:ascii="Times New Roman" w:cs="Times New Roman" w:eastAsia="Times New Roman" w:hAnsi="Times New Roman"/>
                  <w:sz w:val="14"/>
                  <w:szCs w:val="14"/>
                  <w:color w:val="0000EE"/>
                </w:rPr>
                <w:t>Inducement Letter, dated August 1, 2024 (incorporated by reference to Exhibit 10.1 of the Company’s current report on Form 8-K filed with the SEC on August 1, 2024).</w:t>
              </w:r>
            </w:hyperlink>
          </w:p>
        </w:tc>
      </w:tr>
      <w:tr>
        <w:trPr>
          <w:trHeight w:val="20"/>
        </w:trPr>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580" w:type="dxa"/>
            <w:vAlign w:val="bottom"/>
            <w:tcBorders>
              <w:left w:val="single" w:sz="8" w:color="0000EE"/>
            </w:tcBorders>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6"/>
        </w:trPr>
        <w:tc>
          <w:tcPr>
            <w:tcW w:w="7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2"/>
                <w:szCs w:val="12"/>
                <w:color w:val="auto"/>
              </w:rPr>
            </w:pPr>
          </w:p>
        </w:tc>
        <w:tc>
          <w:tcPr>
            <w:tcW w:w="10440" w:type="dxa"/>
            <w:vAlign w:val="bottom"/>
            <w:gridSpan w:val="8"/>
          </w:tcPr>
          <w:p>
            <w:pPr>
              <w:spacing w:after="0" w:line="146" w:lineRule="exact"/>
              <w:rPr>
                <w:rFonts w:ascii="Times New Roman" w:cs="Times New Roman" w:eastAsia="Times New Roman" w:hAnsi="Times New Roman"/>
                <w:sz w:val="14"/>
                <w:szCs w:val="14"/>
                <w:color w:val="0000EE"/>
              </w:rPr>
            </w:pPr>
            <w:hyperlink r:id="rId38">
              <w:r>
                <w:rPr>
                  <w:rFonts w:ascii="Times New Roman" w:cs="Times New Roman" w:eastAsia="Times New Roman" w:hAnsi="Times New Roman"/>
                  <w:sz w:val="14"/>
                  <w:szCs w:val="14"/>
                  <w:color w:val="0000EE"/>
                </w:rPr>
                <w:t>Financial Advisory Agreement, dated August 1, 2024 (incorporated by reference to Exhibit 10.2 of the Company’s current report on Form 8-K filed with the SEC on August 1, 2024).</w:t>
              </w:r>
            </w:hyperlink>
          </w:p>
        </w:tc>
      </w:tr>
      <w:tr>
        <w:trPr>
          <w:trHeight w:val="146"/>
        </w:trPr>
        <w:tc>
          <w:tcPr>
            <w:tcW w:w="7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2"/>
                <w:szCs w:val="12"/>
                <w:color w:val="auto"/>
              </w:rPr>
            </w:pPr>
          </w:p>
        </w:tc>
        <w:tc>
          <w:tcPr>
            <w:tcW w:w="4780" w:type="dxa"/>
            <w:vAlign w:val="bottom"/>
            <w:tcBorders>
              <w:top w:val="single" w:sz="8" w:color="0000EE"/>
              <w:bottom w:val="single" w:sz="8" w:color="0000EE"/>
            </w:tcBorders>
            <w:gridSpan w:val="2"/>
          </w:tcPr>
          <w:p>
            <w:pPr>
              <w:spacing w:after="0" w:line="146" w:lineRule="exact"/>
              <w:rPr>
                <w:sz w:val="20"/>
                <w:szCs w:val="20"/>
                <w:color w:val="auto"/>
              </w:rPr>
            </w:pPr>
            <w:r>
              <w:rPr>
                <w:rFonts w:ascii="Times New Roman" w:cs="Times New Roman" w:eastAsia="Times New Roman" w:hAnsi="Times New Roman"/>
                <w:sz w:val="14"/>
                <w:szCs w:val="14"/>
                <w:color w:val="0000EE"/>
                <w:w w:val="98"/>
              </w:rPr>
              <w:t>Certification of Chief Executive Officer pursuant to Rule 13a-14(a) or Rule 15d-14(a).</w:t>
            </w:r>
          </w:p>
        </w:tc>
        <w:tc>
          <w:tcPr>
            <w:tcW w:w="5280" w:type="dxa"/>
            <w:vAlign w:val="bottom"/>
            <w:tcBorders>
              <w:top w:val="single" w:sz="8" w:color="0000EE"/>
            </w:tcBorders>
            <w:gridSpan w:val="5"/>
          </w:tcPr>
          <w:p>
            <w:pPr>
              <w:spacing w:after="0"/>
              <w:rPr>
                <w:sz w:val="12"/>
                <w:szCs w:val="12"/>
                <w:color w:val="auto"/>
              </w:rPr>
            </w:pPr>
          </w:p>
        </w:tc>
        <w:tc>
          <w:tcPr>
            <w:tcW w:w="380" w:type="dxa"/>
            <w:vAlign w:val="bottom"/>
          </w:tcPr>
          <w:p>
            <w:pPr>
              <w:spacing w:after="0"/>
              <w:rPr>
                <w:sz w:val="12"/>
                <w:szCs w:val="12"/>
                <w:color w:val="auto"/>
              </w:rPr>
            </w:pPr>
          </w:p>
        </w:tc>
      </w:tr>
      <w:tr>
        <w:trPr>
          <w:trHeight w:val="146"/>
        </w:trPr>
        <w:tc>
          <w:tcPr>
            <w:tcW w:w="7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2"/>
                <w:szCs w:val="12"/>
                <w:color w:val="auto"/>
              </w:rPr>
            </w:pPr>
          </w:p>
        </w:tc>
        <w:tc>
          <w:tcPr>
            <w:tcW w:w="10440" w:type="dxa"/>
            <w:vAlign w:val="bottom"/>
            <w:gridSpan w:val="8"/>
          </w:tcPr>
          <w:p>
            <w:pPr>
              <w:spacing w:after="0" w:line="146" w:lineRule="exact"/>
              <w:rPr>
                <w:sz w:val="20"/>
                <w:szCs w:val="20"/>
                <w:color w:val="auto"/>
              </w:rPr>
            </w:pPr>
            <w:r>
              <w:rPr>
                <w:rFonts w:ascii="Times New Roman" w:cs="Times New Roman" w:eastAsia="Times New Roman" w:hAnsi="Times New Roman"/>
                <w:sz w:val="14"/>
                <w:szCs w:val="14"/>
                <w:color w:val="0000EE"/>
              </w:rPr>
              <w:t>Certification of Chief Financial Officer pursuant to Rule 13a-14(a) or Rule 15d-14(a).</w:t>
            </w:r>
          </w:p>
        </w:tc>
      </w:tr>
      <w:tr>
        <w:trPr>
          <w:trHeight w:val="20"/>
        </w:trPr>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r>
      <w:tr>
        <w:trPr>
          <w:trHeight w:val="146"/>
        </w:trPr>
        <w:tc>
          <w:tcPr>
            <w:tcW w:w="7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2"/>
                <w:szCs w:val="12"/>
                <w:color w:val="auto"/>
              </w:rPr>
            </w:pPr>
          </w:p>
        </w:tc>
        <w:tc>
          <w:tcPr>
            <w:tcW w:w="10440" w:type="dxa"/>
            <w:vAlign w:val="bottom"/>
            <w:gridSpan w:val="8"/>
          </w:tcPr>
          <w:p>
            <w:pPr>
              <w:spacing w:after="0" w:line="146" w:lineRule="exact"/>
              <w:rPr>
                <w:sz w:val="20"/>
                <w:szCs w:val="20"/>
                <w:color w:val="auto"/>
              </w:rPr>
            </w:pPr>
            <w:r>
              <w:rPr>
                <w:rFonts w:ascii="Times New Roman" w:cs="Times New Roman" w:eastAsia="Times New Roman" w:hAnsi="Times New Roman"/>
                <w:sz w:val="14"/>
                <w:szCs w:val="14"/>
                <w:color w:val="0000EE"/>
              </w:rPr>
              <w:t>Certification of Chief Executive Officer and Chief Financial Officer pursuant to 18 U.S.C. Section 1350.</w:t>
            </w:r>
          </w:p>
        </w:tc>
      </w:tr>
      <w:tr>
        <w:trPr>
          <w:trHeight w:val="20"/>
        </w:trPr>
        <w:tc>
          <w:tcPr>
            <w:tcW w:w="840" w:type="dxa"/>
            <w:vAlign w:val="bottom"/>
            <w:gridSpan w:val="3"/>
          </w:tcPr>
          <w:p>
            <w:pPr>
              <w:spacing w:after="0" w:line="20" w:lineRule="exact"/>
              <w:rPr>
                <w:sz w:val="1"/>
                <w:szCs w:val="1"/>
                <w:color w:val="auto"/>
              </w:rPr>
            </w:pPr>
          </w:p>
        </w:tc>
        <w:tc>
          <w:tcPr>
            <w:tcW w:w="5780" w:type="dxa"/>
            <w:vAlign w:val="bottom"/>
            <w:gridSpan w:val="3"/>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r>
      <w:tr>
        <w:trPr>
          <w:trHeight w:val="162"/>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101.INS**</w:t>
            </w:r>
          </w:p>
        </w:tc>
        <w:tc>
          <w:tcPr>
            <w:tcW w:w="104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XBRL Inline Instance Document (the instance document does not appear in the Interactive Data File because its XBRL tags are embedded within the Inline XBRL document).</w:t>
            </w:r>
          </w:p>
        </w:tc>
      </w:tr>
      <w:tr>
        <w:trPr>
          <w:trHeight w:val="166"/>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101.SCH*</w:t>
            </w:r>
          </w:p>
        </w:tc>
        <w:tc>
          <w:tcPr>
            <w:tcW w:w="104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66"/>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101.CAL*</w:t>
            </w:r>
          </w:p>
        </w:tc>
        <w:tc>
          <w:tcPr>
            <w:tcW w:w="104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66"/>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101.DEF*</w:t>
            </w:r>
          </w:p>
        </w:tc>
        <w:tc>
          <w:tcPr>
            <w:tcW w:w="104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66"/>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101.LAB*</w:t>
            </w:r>
          </w:p>
        </w:tc>
        <w:tc>
          <w:tcPr>
            <w:tcW w:w="104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66"/>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101.PRE*</w:t>
            </w:r>
          </w:p>
        </w:tc>
        <w:tc>
          <w:tcPr>
            <w:tcW w:w="104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181"/>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04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Exhibits 101).</w:t>
            </w:r>
          </w:p>
        </w:tc>
      </w:tr>
    </w:tbl>
    <w:p>
      <w:pPr>
        <w:spacing w:after="0" w:line="150" w:lineRule="exact"/>
        <w:rPr>
          <w:sz w:val="20"/>
          <w:szCs w:val="20"/>
          <w:color w:val="auto"/>
        </w:rPr>
      </w:pPr>
    </w:p>
    <w:p>
      <w:pPr>
        <w:ind w:left="500" w:hanging="497"/>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p>
    <w:p>
      <w:pPr>
        <w:ind w:left="500" w:hanging="497"/>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27" w:name="page28"/>
    <w:bookmarkEnd w:id="27"/>
    <w:p>
      <w:pPr>
        <w:ind w:left="520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quarterly report to be signed on its behalf by the undersigned hereunto duly authorized.</w:t>
      </w:r>
    </w:p>
    <w:p>
      <w:pPr>
        <w:spacing w:after="0" w:line="180" w:lineRule="exact"/>
        <w:rPr>
          <w:sz w:val="20"/>
          <w:szCs w:val="20"/>
          <w:color w:val="auto"/>
        </w:rPr>
      </w:pPr>
    </w:p>
    <w:p>
      <w:pPr>
        <w:spacing w:after="0"/>
        <w:tabs>
          <w:tab w:leader="none" w:pos="5640" w:val="left"/>
          <w:tab w:leader="none" w:pos="6200" w:val="left"/>
        </w:tabs>
        <w:rPr>
          <w:sz w:val="20"/>
          <w:szCs w:val="20"/>
          <w:color w:val="auto"/>
        </w:rPr>
      </w:pPr>
      <w:r>
        <w:rPr>
          <w:rFonts w:ascii="Times New Roman" w:cs="Times New Roman" w:eastAsia="Times New Roman" w:hAnsi="Times New Roman"/>
          <w:sz w:val="14"/>
          <w:szCs w:val="14"/>
          <w:color w:val="auto"/>
        </w:rPr>
        <w:t>Dated: August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i w:val="1"/>
          <w:iCs w:val="1"/>
          <w:color w:val="auto"/>
        </w:rPr>
        <w:t>/s/ 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13335</wp:posOffset>
            </wp:positionV>
            <wp:extent cx="322072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3220720" cy="1333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Stephen C. Glover</w:t>
      </w:r>
    </w:p>
    <w:p>
      <w:pPr>
        <w:spacing w:after="0" w:line="2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53" w:lineRule="exact"/>
        <w:rPr>
          <w:sz w:val="20"/>
          <w:szCs w:val="20"/>
          <w:color w:val="auto"/>
        </w:rPr>
      </w:pPr>
    </w:p>
    <w:p>
      <w:pPr>
        <w:spacing w:after="0"/>
        <w:tabs>
          <w:tab w:leader="none" w:pos="5640" w:val="left"/>
          <w:tab w:leader="none" w:pos="6200" w:val="left"/>
        </w:tabs>
        <w:rPr>
          <w:sz w:val="20"/>
          <w:szCs w:val="20"/>
          <w:color w:val="auto"/>
        </w:rPr>
      </w:pPr>
      <w:r>
        <w:rPr>
          <w:rFonts w:ascii="Times New Roman" w:cs="Times New Roman" w:eastAsia="Times New Roman" w:hAnsi="Times New Roman"/>
          <w:sz w:val="14"/>
          <w:szCs w:val="14"/>
          <w:color w:val="auto"/>
        </w:rPr>
        <w:t>Dated: August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i w:val="1"/>
          <w:iCs w:val="1"/>
          <w:color w:val="auto"/>
        </w:rPr>
        <w:t>/s/ 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13335</wp:posOffset>
            </wp:positionV>
            <wp:extent cx="322072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3220720" cy="1333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Peter Wolfe</w:t>
      </w:r>
    </w:p>
    <w:p>
      <w:pPr>
        <w:spacing w:after="0" w:line="2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1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6407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0620"/>
          </w:cols>
          <w:pgMar w:left="300" w:top="537" w:right="979" w:bottom="1440" w:gutter="0" w:footer="0" w:header="0"/>
        </w:sectPr>
      </w:pPr>
    </w:p>
    <w:bookmarkStart w:id="28" w:name="page29"/>
    <w:bookmarkEnd w:id="28"/>
    <w:p>
      <w:pPr>
        <w:ind w:left="9380"/>
        <w:spacing w:after="0"/>
        <w:rPr>
          <w:sz w:val="20"/>
          <w:szCs w:val="20"/>
          <w:color w:val="auto"/>
        </w:rPr>
      </w:pPr>
      <w:r>
        <w:rPr>
          <w:rFonts w:ascii="Times New Roman" w:cs="Times New Roman" w:eastAsia="Times New Roman" w:hAnsi="Times New Roman"/>
          <w:sz w:val="16"/>
          <w:szCs w:val="16"/>
          <w:b w:val="1"/>
          <w:bCs w:val="1"/>
          <w:color w:val="auto"/>
        </w:rPr>
        <w:t>Exhibit 3.1</w:t>
      </w:r>
    </w:p>
    <w:p>
      <w:pPr>
        <w:sectPr>
          <w:pgSz w:w="11900" w:h="16838" w:orient="portrait"/>
          <w:cols w:equalWidth="0" w:num="1">
            <w:col w:w="10140"/>
          </w:cols>
          <w:pgMar w:left="1440" w:top="301" w:right="319" w:bottom="1440"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177405" cy="10220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177405"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194310</wp:posOffset>
            </wp:positionV>
            <wp:extent cx="716407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190740" cy="10220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190740"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07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03440" cy="10220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03440"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07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03440" cy="10220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03440"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07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197090" cy="10220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197090"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07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378460</wp:posOffset>
            </wp:positionV>
            <wp:extent cx="7197090" cy="10220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197090"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07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378460</wp:posOffset>
            </wp:positionV>
            <wp:extent cx="7203440" cy="102209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03440"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07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102209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11695"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07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378460</wp:posOffset>
            </wp:positionV>
            <wp:extent cx="7211695" cy="10220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11695"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07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378460</wp:posOffset>
            </wp:positionV>
            <wp:extent cx="7211695" cy="10220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11695"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07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378460</wp:posOffset>
            </wp:positionV>
            <wp:extent cx="7203440" cy="102209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03440"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07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102209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11695" cy="10220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16407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ZyVersa Therapeutics,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Stephen C. Glover, certify that:</w:t>
      </w:r>
    </w:p>
    <w:p>
      <w:pPr>
        <w:spacing w:after="0" w:line="170" w:lineRule="exact"/>
        <w:rPr>
          <w:sz w:val="20"/>
          <w:szCs w:val="20"/>
          <w:color w:val="auto"/>
        </w:rPr>
      </w:pPr>
    </w:p>
    <w:p>
      <w:pPr>
        <w:ind w:left="260" w:hanging="257"/>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ZyVersa Therapeutics, Inc.;</w:t>
      </w:r>
    </w:p>
    <w:p>
      <w:pPr>
        <w:spacing w:after="0" w:line="170" w:lineRule="exact"/>
        <w:rPr>
          <w:rFonts w:ascii="Times New Roman" w:cs="Times New Roman" w:eastAsia="Times New Roman" w:hAnsi="Times New Roman"/>
          <w:sz w:val="14"/>
          <w:szCs w:val="14"/>
          <w:color w:val="auto"/>
        </w:rPr>
      </w:pPr>
    </w:p>
    <w:p>
      <w:pPr>
        <w:ind w:left="260" w:hanging="257"/>
        <w:spacing w:after="0" w:line="276" w:lineRule="auto"/>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Times New Roman" w:cs="Times New Roman" w:eastAsia="Times New Roman" w:hAnsi="Times New Roman"/>
          <w:sz w:val="14"/>
          <w:szCs w:val="14"/>
          <w:color w:val="auto"/>
        </w:rPr>
      </w:pPr>
    </w:p>
    <w:p>
      <w:pPr>
        <w:ind w:left="260" w:hanging="257"/>
        <w:spacing w:after="0" w:line="276" w:lineRule="auto"/>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26" w:lineRule="exact"/>
        <w:rPr>
          <w:rFonts w:ascii="Times New Roman" w:cs="Times New Roman" w:eastAsia="Times New Roman" w:hAnsi="Times New Roman"/>
          <w:sz w:val="14"/>
          <w:szCs w:val="14"/>
          <w:color w:val="auto"/>
        </w:rPr>
      </w:pPr>
    </w:p>
    <w:p>
      <w:pPr>
        <w:ind w:left="260" w:hanging="257"/>
        <w:spacing w:after="0" w:line="276" w:lineRule="auto"/>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6" w:lineRule="exact"/>
        <w:rPr>
          <w:rFonts w:ascii="Times New Roman" w:cs="Times New Roman" w:eastAsia="Times New Roman" w:hAnsi="Times New Roman"/>
          <w:sz w:val="14"/>
          <w:szCs w:val="14"/>
          <w:color w:val="auto"/>
        </w:rPr>
      </w:pPr>
    </w:p>
    <w:p>
      <w:pPr>
        <w:ind w:left="500" w:hanging="249"/>
        <w:spacing w:after="0" w:line="276" w:lineRule="auto"/>
        <w:tabs>
          <w:tab w:leader="none" w:pos="5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4"/>
          <w:szCs w:val="14"/>
          <w:color w:val="auto"/>
        </w:rPr>
      </w:pPr>
    </w:p>
    <w:p>
      <w:pPr>
        <w:ind w:left="500" w:hanging="249"/>
        <w:spacing w:after="0" w:line="276" w:lineRule="auto"/>
        <w:tabs>
          <w:tab w:leader="none" w:pos="5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4"/>
          <w:szCs w:val="14"/>
          <w:color w:val="auto"/>
        </w:rPr>
      </w:pPr>
    </w:p>
    <w:p>
      <w:pPr>
        <w:ind w:left="500" w:hanging="249"/>
        <w:spacing w:after="0" w:line="276" w:lineRule="auto"/>
        <w:tabs>
          <w:tab w:leader="none" w:pos="5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4"/>
          <w:szCs w:val="14"/>
          <w:color w:val="auto"/>
        </w:rPr>
      </w:pPr>
    </w:p>
    <w:p>
      <w:pPr>
        <w:ind w:left="500" w:hanging="249"/>
        <w:spacing w:after="0" w:line="276" w:lineRule="auto"/>
        <w:tabs>
          <w:tab w:leader="none" w:pos="5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annual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26" w:lineRule="exact"/>
        <w:rPr>
          <w:rFonts w:ascii="Times New Roman" w:cs="Times New Roman" w:eastAsia="Times New Roman" w:hAnsi="Times New Roman"/>
          <w:sz w:val="14"/>
          <w:szCs w:val="14"/>
          <w:color w:val="auto"/>
        </w:rPr>
      </w:pPr>
    </w:p>
    <w:p>
      <w:pPr>
        <w:ind w:left="260" w:hanging="257"/>
        <w:spacing w:after="0" w:line="276" w:lineRule="auto"/>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26" w:lineRule="exact"/>
        <w:rPr>
          <w:rFonts w:ascii="Times New Roman" w:cs="Times New Roman" w:eastAsia="Times New Roman" w:hAnsi="Times New Roman"/>
          <w:sz w:val="14"/>
          <w:szCs w:val="14"/>
          <w:color w:val="auto"/>
        </w:rPr>
      </w:pPr>
    </w:p>
    <w:p>
      <w:pPr>
        <w:ind w:left="500" w:hanging="249"/>
        <w:spacing w:after="0" w:line="276" w:lineRule="auto"/>
        <w:tabs>
          <w:tab w:leader="none" w:pos="5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4"/>
          <w:szCs w:val="14"/>
          <w:color w:val="auto"/>
        </w:rPr>
        <w:t>Dated: August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i w:val="1"/>
          <w:iCs w:val="1"/>
          <w:color w:val="auto"/>
        </w:rPr>
        <w:t>/s/ 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13335</wp:posOffset>
            </wp:positionV>
            <wp:extent cx="336550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365500" cy="1333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Stephen C. Glover</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16407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ZyVersa Therapeutics,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Peter Wolfe, certify that:</w:t>
      </w:r>
    </w:p>
    <w:p>
      <w:pPr>
        <w:spacing w:after="0" w:line="170" w:lineRule="exact"/>
        <w:rPr>
          <w:sz w:val="20"/>
          <w:szCs w:val="20"/>
          <w:color w:val="auto"/>
        </w:rPr>
      </w:pPr>
    </w:p>
    <w:p>
      <w:pPr>
        <w:ind w:left="260" w:hanging="257"/>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ZyVersa Therapeutics, Inc.;</w:t>
      </w:r>
    </w:p>
    <w:p>
      <w:pPr>
        <w:spacing w:after="0" w:line="170" w:lineRule="exact"/>
        <w:rPr>
          <w:rFonts w:ascii="Times New Roman" w:cs="Times New Roman" w:eastAsia="Times New Roman" w:hAnsi="Times New Roman"/>
          <w:sz w:val="14"/>
          <w:szCs w:val="14"/>
          <w:color w:val="auto"/>
        </w:rPr>
      </w:pPr>
    </w:p>
    <w:p>
      <w:pPr>
        <w:ind w:left="260" w:hanging="257"/>
        <w:spacing w:after="0" w:line="276"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Times New Roman" w:cs="Times New Roman" w:eastAsia="Times New Roman" w:hAnsi="Times New Roman"/>
          <w:sz w:val="14"/>
          <w:szCs w:val="14"/>
          <w:color w:val="auto"/>
        </w:rPr>
      </w:pPr>
    </w:p>
    <w:p>
      <w:pPr>
        <w:ind w:left="260" w:hanging="257"/>
        <w:spacing w:after="0" w:line="276"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26" w:lineRule="exact"/>
        <w:rPr>
          <w:rFonts w:ascii="Times New Roman" w:cs="Times New Roman" w:eastAsia="Times New Roman" w:hAnsi="Times New Roman"/>
          <w:sz w:val="14"/>
          <w:szCs w:val="14"/>
          <w:color w:val="auto"/>
        </w:rPr>
      </w:pPr>
    </w:p>
    <w:p>
      <w:pPr>
        <w:ind w:left="260" w:hanging="257"/>
        <w:spacing w:after="0" w:line="276"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6" w:lineRule="exact"/>
        <w:rPr>
          <w:rFonts w:ascii="Times New Roman" w:cs="Times New Roman" w:eastAsia="Times New Roman" w:hAnsi="Times New Roman"/>
          <w:sz w:val="14"/>
          <w:szCs w:val="14"/>
          <w:color w:val="auto"/>
        </w:rPr>
      </w:pPr>
    </w:p>
    <w:p>
      <w:pPr>
        <w:ind w:left="500" w:hanging="249"/>
        <w:spacing w:after="0" w:line="276"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4"/>
          <w:szCs w:val="14"/>
          <w:color w:val="auto"/>
        </w:rPr>
      </w:pPr>
    </w:p>
    <w:p>
      <w:pPr>
        <w:ind w:left="500" w:hanging="249"/>
        <w:spacing w:after="0" w:line="276"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Times New Roman" w:cs="Times New Roman" w:eastAsia="Times New Roman" w:hAnsi="Times New Roman"/>
          <w:sz w:val="14"/>
          <w:szCs w:val="14"/>
          <w:color w:val="auto"/>
        </w:rPr>
      </w:pPr>
    </w:p>
    <w:p>
      <w:pPr>
        <w:ind w:left="500" w:hanging="249"/>
        <w:spacing w:after="0" w:line="276"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4"/>
          <w:szCs w:val="14"/>
          <w:color w:val="auto"/>
        </w:rPr>
      </w:pPr>
    </w:p>
    <w:p>
      <w:pPr>
        <w:ind w:left="500" w:hanging="249"/>
        <w:spacing w:after="0" w:line="276"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annual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26" w:lineRule="exact"/>
        <w:rPr>
          <w:rFonts w:ascii="Times New Roman" w:cs="Times New Roman" w:eastAsia="Times New Roman" w:hAnsi="Times New Roman"/>
          <w:sz w:val="14"/>
          <w:szCs w:val="14"/>
          <w:color w:val="auto"/>
        </w:rPr>
      </w:pPr>
    </w:p>
    <w:p>
      <w:pPr>
        <w:ind w:left="260" w:hanging="257"/>
        <w:spacing w:after="0" w:line="276"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26" w:lineRule="exact"/>
        <w:rPr>
          <w:rFonts w:ascii="Times New Roman" w:cs="Times New Roman" w:eastAsia="Times New Roman" w:hAnsi="Times New Roman"/>
          <w:sz w:val="14"/>
          <w:szCs w:val="14"/>
          <w:color w:val="auto"/>
        </w:rPr>
      </w:pPr>
    </w:p>
    <w:p>
      <w:pPr>
        <w:ind w:left="500" w:hanging="249"/>
        <w:spacing w:after="0" w:line="276"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4"/>
          <w:szCs w:val="14"/>
          <w:color w:val="auto"/>
        </w:rPr>
        <w:t>Dated: August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i w:val="1"/>
          <w:iCs w:val="1"/>
          <w:color w:val="auto"/>
        </w:rPr>
        <w:t>/s/ 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13335</wp:posOffset>
            </wp:positionV>
            <wp:extent cx="336550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365500" cy="1333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Peter Wolfe</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16407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Quarterly Report of ZyVersa Therapeutics, Inc. (the “Company”) on Form 10-Q for the quarter ended June 30, 2024, as filed with the Securities and Exchange Commission on the date hereof (the “Report”), each of the undersigned officers of the Company certifies, pursuant to 18 U.S.C. Section 1350, as adopted pursuant to Section 906 of the Sarbanes-Oxley Act of 2002, that, to such officer’s knowledge:</w:t>
      </w:r>
    </w:p>
    <w:p>
      <w:pPr>
        <w:spacing w:after="0" w:line="137" w:lineRule="exact"/>
        <w:rPr>
          <w:sz w:val="20"/>
          <w:szCs w:val="20"/>
          <w:color w:val="auto"/>
        </w:rPr>
      </w:pPr>
    </w:p>
    <w:p>
      <w:pPr>
        <w:ind w:left="200" w:hanging="197"/>
        <w:spacing w:after="0"/>
        <w:tabs>
          <w:tab w:leader="none" w:pos="2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0" w:lineRule="exact"/>
        <w:rPr>
          <w:rFonts w:ascii="Times New Roman" w:cs="Times New Roman" w:eastAsia="Times New Roman" w:hAnsi="Times New Roman"/>
          <w:sz w:val="14"/>
          <w:szCs w:val="14"/>
          <w:color w:val="auto"/>
        </w:rPr>
      </w:pPr>
    </w:p>
    <w:p>
      <w:pPr>
        <w:ind w:firstLine="3"/>
        <w:spacing w:after="0" w:line="276" w:lineRule="auto"/>
        <w:tabs>
          <w:tab w:leader="none" w:pos="20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125" w:lineRule="exact"/>
        <w:rPr>
          <w:sz w:val="20"/>
          <w:szCs w:val="20"/>
          <w:color w:val="auto"/>
        </w:rPr>
      </w:pPr>
    </w:p>
    <w:p>
      <w:pPr>
        <w:spacing w:after="0"/>
        <w:tabs>
          <w:tab w:leader="none" w:pos="560" w:val="left"/>
          <w:tab w:leader="none" w:pos="5640" w:val="left"/>
          <w:tab w:leader="none" w:pos="5960" w:val="left"/>
        </w:tabs>
        <w:rPr>
          <w:sz w:val="20"/>
          <w:szCs w:val="20"/>
          <w:color w:val="auto"/>
        </w:rPr>
      </w:pPr>
      <w:r>
        <w:rPr>
          <w:rFonts w:ascii="Times New Roman" w:cs="Times New Roman" w:eastAsia="Times New Roman" w:hAnsi="Times New Roman"/>
          <w:sz w:val="14"/>
          <w:szCs w:val="14"/>
          <w:color w:val="auto"/>
        </w:rPr>
        <w:t>Dated:</w:t>
        <w:tab/>
        <w:t>August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i w:val="1"/>
          <w:iCs w:val="1"/>
          <w:color w:val="auto"/>
        </w:rPr>
        <w:t>/s/ 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13335</wp:posOffset>
            </wp:positionV>
            <wp:extent cx="336550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365500" cy="13335"/>
                    </a:xfrm>
                    <a:prstGeom prst="rect">
                      <a:avLst/>
                    </a:prstGeom>
                    <a:noFill/>
                  </pic:spPr>
                </pic:pic>
              </a:graphicData>
            </a:graphic>
          </wp:anchor>
        </w:drawing>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Stephen C. Glover</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53" w:lineRule="exact"/>
        <w:rPr>
          <w:sz w:val="20"/>
          <w:szCs w:val="20"/>
          <w:color w:val="auto"/>
        </w:rPr>
      </w:pPr>
    </w:p>
    <w:p>
      <w:pPr>
        <w:spacing w:after="0"/>
        <w:tabs>
          <w:tab w:leader="none" w:pos="560" w:val="left"/>
          <w:tab w:leader="none" w:pos="5640" w:val="left"/>
          <w:tab w:leader="none" w:pos="5960" w:val="left"/>
        </w:tabs>
        <w:rPr>
          <w:sz w:val="20"/>
          <w:szCs w:val="20"/>
          <w:color w:val="auto"/>
        </w:rPr>
      </w:pPr>
      <w:r>
        <w:rPr>
          <w:rFonts w:ascii="Times New Roman" w:cs="Times New Roman" w:eastAsia="Times New Roman" w:hAnsi="Times New Roman"/>
          <w:sz w:val="14"/>
          <w:szCs w:val="14"/>
          <w:color w:val="auto"/>
        </w:rPr>
        <w:t>Dated:</w:t>
        <w:tab/>
        <w:t>August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i w:val="1"/>
          <w:iCs w:val="1"/>
          <w:color w:val="auto"/>
        </w:rPr>
        <w:t>/s/ 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13335</wp:posOffset>
            </wp:positionV>
            <wp:extent cx="336550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365500" cy="13335"/>
                    </a:xfrm>
                    <a:prstGeom prst="rect">
                      <a:avLst/>
                    </a:prstGeom>
                    <a:noFill/>
                  </pic:spPr>
                </pic:pic>
              </a:graphicData>
            </a:graphic>
          </wp:anchor>
        </w:drawing>
      </w:r>
    </w:p>
    <w:p>
      <w:pPr>
        <w:spacing w:after="0" w:line="1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Peter Wolfe</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716407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sectPr>
      <w:pgSz w:w="11900" w:h="16838" w:orient="portrait"/>
      <w:cols w:equalWidth="0" w:num="1">
        <w:col w:w="11280"/>
      </w:cols>
      <w:pgMar w:left="300" w:top="28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00"/>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jpeg"/><Relationship Id="rId44" Type="http://schemas.openxmlformats.org/officeDocument/2006/relationships/image" Target="media/image33.png"/><Relationship Id="rId45" Type="http://schemas.openxmlformats.org/officeDocument/2006/relationships/image" Target="media/image34.jpeg"/><Relationship Id="rId46" Type="http://schemas.openxmlformats.org/officeDocument/2006/relationships/image" Target="media/image35.png"/><Relationship Id="rId47" Type="http://schemas.openxmlformats.org/officeDocument/2006/relationships/image" Target="media/image36.jpeg"/><Relationship Id="rId48" Type="http://schemas.openxmlformats.org/officeDocument/2006/relationships/image" Target="media/image37.png"/><Relationship Id="rId49" Type="http://schemas.openxmlformats.org/officeDocument/2006/relationships/image" Target="media/image38.jpeg"/><Relationship Id="rId50" Type="http://schemas.openxmlformats.org/officeDocument/2006/relationships/image" Target="media/image39.png"/><Relationship Id="rId51" Type="http://schemas.openxmlformats.org/officeDocument/2006/relationships/image" Target="media/image40.jpeg"/><Relationship Id="rId52" Type="http://schemas.openxmlformats.org/officeDocument/2006/relationships/image" Target="media/image41.png"/><Relationship Id="rId53" Type="http://schemas.openxmlformats.org/officeDocument/2006/relationships/image" Target="media/image42.jpeg"/><Relationship Id="rId54" Type="http://schemas.openxmlformats.org/officeDocument/2006/relationships/image" Target="media/image43.png"/><Relationship Id="rId55" Type="http://schemas.openxmlformats.org/officeDocument/2006/relationships/image" Target="media/image44.jpeg"/><Relationship Id="rId56" Type="http://schemas.openxmlformats.org/officeDocument/2006/relationships/image" Target="media/image45.png"/><Relationship Id="rId57" Type="http://schemas.openxmlformats.org/officeDocument/2006/relationships/image" Target="media/image46.jpeg"/><Relationship Id="rId58" Type="http://schemas.openxmlformats.org/officeDocument/2006/relationships/image" Target="media/image47.png"/><Relationship Id="rId59" Type="http://schemas.openxmlformats.org/officeDocument/2006/relationships/image" Target="media/image48.jpeg"/><Relationship Id="rId60" Type="http://schemas.openxmlformats.org/officeDocument/2006/relationships/image" Target="media/image49.png"/><Relationship Id="rId61" Type="http://schemas.openxmlformats.org/officeDocument/2006/relationships/image" Target="media/image50.jpeg"/><Relationship Id="rId62" Type="http://schemas.openxmlformats.org/officeDocument/2006/relationships/image" Target="media/image51.png"/><Relationship Id="rId63" Type="http://schemas.openxmlformats.org/officeDocument/2006/relationships/image" Target="media/image52.jpeg"/><Relationship Id="rId64" Type="http://schemas.openxmlformats.org/officeDocument/2006/relationships/image" Target="media/image53.png"/><Relationship Id="rId65" Type="http://schemas.openxmlformats.org/officeDocument/2006/relationships/image" Target="media/image54.jpe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35" Type="http://schemas.openxmlformats.org/officeDocument/2006/relationships/hyperlink" Target="https://www.sec.gov/Archives/edgar/data/1859007/000149315224029868/ex4-1.htm" TargetMode="External"/><Relationship Id="rId36" Type="http://schemas.openxmlformats.org/officeDocument/2006/relationships/hyperlink" Target="https://www.sec.gov/Archives/edgar/data/1859007/000149315224029868/ex4-2.htm" TargetMode="External"/><Relationship Id="rId37" Type="http://schemas.openxmlformats.org/officeDocument/2006/relationships/hyperlink" Target="https://www.sec.gov/Archives/edgar/data/1859007/000149315224029868/ex10-1.htm" TargetMode="External"/><Relationship Id="rId38" Type="http://schemas.openxmlformats.org/officeDocument/2006/relationships/hyperlink" Target="https://www.sec.gov/Archives/edgar/data/1859007/000149315224029868/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2024-08-09T16:18:31Z</dcterms:created>
  <dcterms:modified xsi:type="dcterms:W3CDTF">2024-08-09T16:18:31Z</dcterms:modified>
</cp:coreProperties>
</file>