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1160" w:hanging="207"/>
        <w:spacing w:after="0"/>
        <w:tabs>
          <w:tab w:leader="none" w:pos="11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60" w:right="940" w:hanging="2614"/>
        <w:spacing w:after="0" w:line="500" w:lineRule="auto"/>
        <w:tabs>
          <w:tab w:leader="none" w:pos="11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_________to_________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001-41184</w:t>
      </w:r>
    </w:p>
    <w:p>
      <w:pPr>
        <w:spacing w:after="0" w:line="2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ZYVERSA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86-2685744</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Weston, FL 33326</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33326</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(754) 231-1688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740" w:right="339" w:bottom="1440" w:gutter="0" w:footer="0" w:header="0"/>
          <w:type w:val="continuous"/>
        </w:sectPr>
      </w:pPr>
    </w:p>
    <w:p>
      <w:pPr>
        <w:spacing w:after="0" w:line="221"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ZVSA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-3118485</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The Nasdaq Capital Market</w:t>
      </w:r>
    </w:p>
    <w:p>
      <w:pPr>
        <w:spacing w:after="0" w:line="200" w:lineRule="exact"/>
        <w:rPr>
          <w:sz w:val="24"/>
          <w:szCs w:val="24"/>
          <w:color w:val="auto"/>
        </w:rPr>
      </w:pPr>
    </w:p>
    <w:p>
      <w:pPr>
        <w:sectPr>
          <w:pgSz w:w="11900" w:h="16838" w:orient="portrait"/>
          <w:cols w:equalWidth="0" w:num="3">
            <w:col w:w="4200" w:space="720"/>
            <w:col w:w="1800" w:space="720"/>
            <w:col w:w="3800"/>
          </w:cols>
          <w:pgMar w:left="320" w:top="740" w:right="339" w:bottom="1440" w:gutter="0" w:footer="0" w:header="0"/>
          <w:type w:val="continuous"/>
        </w:sectPr>
      </w:pPr>
    </w:p>
    <w:p>
      <w:pPr>
        <w:spacing w:after="0" w:line="25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Accelerated filer</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7, 2025, the number of shares outstanding of the registrant’s common stock, $0.0001 par value per share, was 4,773,456.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9"/>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5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1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w:t>
            </w:r>
          </w:p>
        </w:tc>
        <w:tc>
          <w:tcPr>
            <w:tcW w:w="5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6"/>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(unaudited) and December 31, 2024</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2025 and 2024</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Months Ended March 31, 2025 and 2024</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2025 and 2024</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6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5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56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420" w:type="dxa"/>
            <w:vAlign w:val="bottom"/>
            <w:tcBorders>
              <w:top w:val="single" w:sz="8" w:color="CCEEFF"/>
              <w:bottom w:val="single" w:sz="8" w:color="auto"/>
            </w:tcBorders>
            <w:gridSpan w:val="6"/>
          </w:tcPr>
          <w:p>
            <w:pPr>
              <w:jc w:val="center"/>
              <w:ind w:right="4700"/>
              <w:spacing w:after="0"/>
              <w:rPr>
                <w:sz w:val="20"/>
                <w:szCs w:val="20"/>
                <w:color w:val="auto"/>
              </w:rPr>
            </w:pPr>
            <w:r>
              <w:rPr>
                <w:rFonts w:ascii="Times New Roman" w:cs="Times New Roman" w:eastAsia="Times New Roman" w:hAnsi="Times New Roman"/>
                <w:sz w:val="18"/>
                <w:szCs w:val="18"/>
                <w:color w:val="auto"/>
                <w:w w:val="78"/>
              </w:rPr>
              <w:t>i</w:t>
            </w: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jc w:val="center"/>
              <w:ind w:left="3910"/>
              <w:spacing w:after="0"/>
              <w:rPr>
                <w:sz w:val="20"/>
                <w:szCs w:val="20"/>
                <w:color w:val="auto"/>
              </w:rPr>
            </w:pPr>
            <w:r>
              <w:rPr>
                <w:rFonts w:ascii="Times New Roman" w:cs="Times New Roman" w:eastAsia="Times New Roman" w:hAnsi="Times New Roman"/>
                <w:sz w:val="18"/>
                <w:szCs w:val="18"/>
                <w:b w:val="1"/>
                <w:bCs w:val="1"/>
                <w:color w:val="auto"/>
                <w:w w:val="98"/>
              </w:rPr>
              <w:t>ZYVERSA THERAPEUTICS, INC.</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220" w:type="dxa"/>
            <w:vAlign w:val="bottom"/>
            <w:gridSpan w:val="4"/>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1,611,532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1,530,924</w:t>
            </w:r>
          </w:p>
        </w:tc>
      </w:tr>
      <w:tr>
        <w:trPr>
          <w:trHeight w:val="229"/>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498,778</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184,873</w:t>
            </w:r>
          </w:p>
        </w:tc>
      </w:tr>
      <w:tr>
        <w:trPr>
          <w:trHeight w:val="20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2,110,310</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1,715,797</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18,647,903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18,647,903</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deposit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178,476</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178,476</w:t>
            </w: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48,852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57,238</w:t>
            </w: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7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20,985,541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20,599,414</w:t>
            </w:r>
          </w:p>
        </w:tc>
      </w:tr>
      <w:tr>
        <w:trPr>
          <w:trHeight w:val="197"/>
        </w:trPr>
        <w:tc>
          <w:tcPr>
            <w:tcW w:w="69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9,604,568</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9,337,267</w:t>
            </w:r>
          </w:p>
        </w:tc>
      </w:tr>
      <w:tr>
        <w:trPr>
          <w:trHeight w:val="229"/>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2,398,964</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1,894,041</w:t>
            </w:r>
          </w:p>
        </w:tc>
      </w:tr>
      <w:tr>
        <w:trPr>
          <w:trHeight w:val="210"/>
        </w:trPr>
        <w:tc>
          <w:tcPr>
            <w:tcW w:w="6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12,003,532</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11,231,308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851,659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851,659</w:t>
            </w:r>
          </w:p>
        </w:tc>
      </w:tr>
      <w:tr>
        <w:trPr>
          <w:trHeight w:val="209"/>
        </w:trPr>
        <w:tc>
          <w:tcPr>
            <w:tcW w:w="6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12,855,191</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12,082,967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8,635 shares designated, 50 shares issued and outstanding as of</w:t>
            </w: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5,062 shares designated, 5,062 shares issued and outstanding as</w:t>
            </w: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March 31, 2025 and December 31, 2024</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authorized;2,568,198 and</w:t>
            </w: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2,508,198 shares issued as of March 31, 2025 and December 31, 2024, respectively, and</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2,568,191 and 2,508,191 shares outstanding as of March 31, 2025 and December 31, 2024,</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123,026,749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121,155,922</w:t>
            </w:r>
          </w:p>
        </w:tc>
      </w:tr>
      <w:tr>
        <w:trPr>
          <w:trHeight w:val="216"/>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(114,889,489)</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(112,632,559)</w:t>
            </w:r>
          </w:p>
        </w:tc>
      </w:tr>
      <w:tr>
        <w:trPr>
          <w:trHeight w:val="230"/>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7 shares at March 31, 2025 and December 31, 2024,</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(7,168)</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(7,168)</w:t>
            </w:r>
          </w:p>
        </w:tc>
      </w:tr>
      <w:tr>
        <w:trPr>
          <w:trHeight w:val="209"/>
        </w:trPr>
        <w:tc>
          <w:tcPr>
            <w:tcW w:w="6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8,130,350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20,985,541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20,599,414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220" w:type="dxa"/>
            <w:vAlign w:val="bottom"/>
            <w:gridSpan w:val="4"/>
          </w:tcPr>
          <w:p>
            <w:pPr>
              <w:jc w:val="center"/>
              <w:ind w:left="19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condensed consolidated financial statements.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tcBorders>
              <w:bottom w:val="single" w:sz="8" w:color="auto"/>
            </w:tcBorders>
          </w:tcPr>
          <w:p>
            <w:pPr>
              <w:jc w:val="center"/>
              <w:ind w:left="4170"/>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6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23"/>
        </w:trPr>
        <w:tc>
          <w:tcPr>
            <w:tcW w:w="57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258,876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512,937</w:t>
            </w:r>
          </w:p>
        </w:tc>
        <w:tc>
          <w:tcPr>
            <w:tcW w:w="80" w:type="dxa"/>
            <w:vAlign w:val="bottom"/>
          </w:tcPr>
          <w:p>
            <w:pPr>
              <w:spacing w:after="0"/>
              <w:rPr>
                <w:sz w:val="18"/>
                <w:szCs w:val="18"/>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1,885,695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2,313,699</w:t>
            </w:r>
          </w:p>
        </w:tc>
        <w:tc>
          <w:tcPr>
            <w:tcW w:w="80" w:type="dxa"/>
            <w:vAlign w:val="bottom"/>
            <w:shd w:val="clear" w:color="auto" w:fill="CCEEFF"/>
          </w:tcPr>
          <w:p>
            <w:pPr>
              <w:spacing w:after="0"/>
              <w:rPr>
                <w:sz w:val="19"/>
                <w:szCs w:val="19"/>
                <w:color w:val="auto"/>
              </w:rPr>
            </w:pPr>
          </w:p>
        </w:tc>
      </w:tr>
      <w:tr>
        <w:trPr>
          <w:trHeight w:val="209"/>
        </w:trPr>
        <w:tc>
          <w:tcPr>
            <w:tcW w:w="5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2,144,571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2,826,636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(2,144,571)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(2,826,636)</w:t>
            </w:r>
          </w:p>
        </w:tc>
      </w:tr>
      <w:tr>
        <w:trPr>
          <w:trHeight w:val="216"/>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119,559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equity payable</w:t>
            </w: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57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(2,256,930)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(2,826,737)</w:t>
            </w:r>
          </w:p>
        </w:tc>
      </w:tr>
      <w:tr>
        <w:trPr>
          <w:trHeight w:val="197"/>
        </w:trPr>
        <w:tc>
          <w:tcPr>
            <w:tcW w:w="57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Basic and Diluted</w:t>
            </w:r>
          </w:p>
        </w:tc>
        <w:tc>
          <w:tcPr>
            <w:tcW w:w="23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 and Diluted</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3,106,928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623,600</w:t>
            </w:r>
          </w:p>
        </w:tc>
        <w:tc>
          <w:tcPr>
            <w:tcW w:w="8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6"/>
          </w:tcPr>
          <w:p>
            <w:pPr>
              <w:jc w:val="right"/>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5"/>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2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tcPr>
          <w:p>
            <w:pPr>
              <w:spacing w:after="0"/>
              <w:rPr>
                <w:sz w:val="21"/>
                <w:szCs w:val="21"/>
                <w:color w:val="auto"/>
              </w:rPr>
            </w:pPr>
          </w:p>
        </w:tc>
        <w:tc>
          <w:tcPr>
            <w:tcW w:w="15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1"/>
              </w:rPr>
              <w:t>Amount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5,062</w:t>
            </w:r>
          </w:p>
        </w:tc>
        <w:tc>
          <w:tcPr>
            <w:tcW w:w="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2,508,198</w:t>
            </w: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(7,168)</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$ 121,155,922</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(112,632,559)</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8,516,447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pursuant to</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agreements</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81,594</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81,600</w:t>
            </w:r>
          </w:p>
        </w:tc>
        <w:tc>
          <w:tcPr>
            <w:tcW w:w="0" w:type="dxa"/>
            <w:vAlign w:val="bottom"/>
          </w:tcPr>
          <w:p>
            <w:pPr>
              <w:spacing w:after="0"/>
              <w:rPr>
                <w:sz w:val="1"/>
                <w:szCs w:val="1"/>
                <w:color w:val="auto"/>
              </w:rPr>
            </w:pPr>
          </w:p>
        </w:tc>
      </w:tr>
      <w:tr>
        <w:trPr>
          <w:trHeight w:val="201"/>
        </w:trPr>
        <w:tc>
          <w:tcPr>
            <w:tcW w:w="176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Private placement of</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9"/>
                <w:szCs w:val="29"/>
                <w:color w:val="auto"/>
                <w:vertAlign w:val="superscript"/>
              </w:rPr>
              <w:t>[1]</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1,663,052</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1,663,052</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modification</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53,890</w:t>
            </w:r>
          </w:p>
        </w:tc>
        <w:tc>
          <w:tcPr>
            <w:tcW w:w="12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53,890</w:t>
            </w:r>
          </w:p>
        </w:tc>
        <w:tc>
          <w:tcPr>
            <w:tcW w:w="0" w:type="dxa"/>
            <w:vAlign w:val="bottom"/>
          </w:tcPr>
          <w:p>
            <w:pPr>
              <w:spacing w:after="0"/>
              <w:rPr>
                <w:sz w:val="1"/>
                <w:szCs w:val="1"/>
                <w:color w:val="auto"/>
              </w:rPr>
            </w:pPr>
          </w:p>
        </w:tc>
      </w:tr>
      <w:tr>
        <w:trPr>
          <w:trHeight w:val="198"/>
        </w:trPr>
        <w:tc>
          <w:tcPr>
            <w:tcW w:w="1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72,291</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72,291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(2,256,930)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(2,256,930)</w:t>
            </w: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760" w:type="dxa"/>
            <w:vAlign w:val="bottom"/>
            <w:vMerge w:val="continue"/>
          </w:tcPr>
          <w:p>
            <w:pPr>
              <w:spacing w:after="0"/>
              <w:rPr>
                <w:sz w:val="15"/>
                <w:szCs w:val="15"/>
                <w:color w:val="auto"/>
              </w:rPr>
            </w:pPr>
          </w:p>
        </w:tc>
        <w:tc>
          <w:tcPr>
            <w:tcW w:w="40" w:type="dxa"/>
            <w:vAlign w:val="bottom"/>
            <w:vMerge w:val="restart"/>
          </w:tcPr>
          <w:p>
            <w:pPr>
              <w:spacing w:after="0"/>
              <w:rPr>
                <w:sz w:val="15"/>
                <w:szCs w:val="15"/>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5,062</w:t>
            </w:r>
          </w:p>
        </w:tc>
        <w:tc>
          <w:tcPr>
            <w:tcW w:w="40" w:type="dxa"/>
            <w:vAlign w:val="bottom"/>
          </w:tcPr>
          <w:p>
            <w:pPr>
              <w:spacing w:after="0"/>
              <w:rPr>
                <w:sz w:val="15"/>
                <w:szCs w:val="15"/>
                <w:color w:val="auto"/>
              </w:rPr>
            </w:pPr>
          </w:p>
        </w:tc>
        <w:tc>
          <w:tcPr>
            <w:tcW w:w="460" w:type="dxa"/>
            <w:vAlign w:val="bottom"/>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5"/>
                <w:szCs w:val="15"/>
                <w:color w:val="auto"/>
              </w:rPr>
            </w:pPr>
          </w:p>
        </w:tc>
        <w:tc>
          <w:tcPr>
            <w:tcW w:w="8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2,568,198</w:t>
            </w:r>
          </w:p>
        </w:tc>
        <w:tc>
          <w:tcPr>
            <w:tcW w:w="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146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 $ (7,168)</w:t>
            </w:r>
          </w:p>
        </w:tc>
        <w:tc>
          <w:tcPr>
            <w:tcW w:w="11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123,026,749</w:t>
            </w:r>
          </w:p>
        </w:tc>
        <w:tc>
          <w:tcPr>
            <w:tcW w:w="12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(114,889,489)</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8,130,350</w:t>
            </w:r>
          </w:p>
        </w:tc>
        <w:tc>
          <w:tcPr>
            <w:tcW w:w="0" w:type="dxa"/>
            <w:vAlign w:val="bottom"/>
          </w:tcPr>
          <w:p>
            <w:pPr>
              <w:spacing w:after="0"/>
              <w:rPr>
                <w:sz w:val="1"/>
                <w:szCs w:val="1"/>
                <w:color w:val="auto"/>
              </w:rPr>
            </w:pPr>
          </w:p>
        </w:tc>
      </w:tr>
      <w:tr>
        <w:trPr>
          <w:trHeight w:val="225"/>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vMerge w:val="continue"/>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1460" w:type="dxa"/>
            <w:vAlign w:val="bottom"/>
            <w:gridSpan w:val="7"/>
            <w:vMerge w:val="continue"/>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260" w:type="dxa"/>
            <w:vAlign w:val="bottom"/>
            <w:gridSpan w:val="4"/>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6"/>
          </w:tcPr>
          <w:p>
            <w:pPr>
              <w:jc w:val="center"/>
              <w:ind w:left="150"/>
              <w:spacing w:after="0" w:line="188" w:lineRule="exact"/>
              <w:rPr>
                <w:sz w:val="20"/>
                <w:szCs w:val="20"/>
                <w:color w:val="auto"/>
              </w:rPr>
            </w:pPr>
            <w:r>
              <w:rPr>
                <w:rFonts w:ascii="Times New Roman" w:cs="Times New Roman" w:eastAsia="Times New Roman" w:hAnsi="Times New Roman"/>
                <w:sz w:val="18"/>
                <w:szCs w:val="18"/>
                <w:b w:val="1"/>
                <w:bCs w:val="1"/>
                <w:color w:val="auto"/>
              </w:rPr>
              <w:t>Series 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Series B</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9"/>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80" w:type="dxa"/>
            <w:vAlign w:val="bottom"/>
          </w:tcPr>
          <w:p>
            <w:pPr>
              <w:spacing w:after="0"/>
              <w:rPr>
                <w:sz w:val="21"/>
                <w:szCs w:val="21"/>
                <w:color w:val="auto"/>
              </w:rPr>
            </w:pPr>
          </w:p>
        </w:tc>
        <w:tc>
          <w:tcPr>
            <w:tcW w:w="134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tcPr>
          <w:p>
            <w:pPr>
              <w:spacing w:after="0"/>
              <w:rPr>
                <w:sz w:val="21"/>
                <w:szCs w:val="21"/>
                <w:color w:val="auto"/>
              </w:rPr>
            </w:pPr>
          </w:p>
        </w:tc>
        <w:tc>
          <w:tcPr>
            <w:tcW w:w="15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December 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405,212</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 (7,168)</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$ 114,300,849</w:t>
            </w:r>
          </w:p>
        </w:tc>
        <w:tc>
          <w:tcPr>
            <w:tcW w:w="40" w:type="dxa"/>
            <w:vAlign w:val="bottom"/>
            <w:shd w:val="clear" w:color="auto" w:fill="CCEEFF"/>
          </w:tcPr>
          <w:p>
            <w:pPr>
              <w:spacing w:after="0"/>
              <w:rPr>
                <w:sz w:val="20"/>
                <w:szCs w:val="20"/>
                <w:color w:val="auto"/>
              </w:rPr>
            </w:pP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(103,219,124)</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11,074,598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2,672,479</w:t>
            </w:r>
          </w:p>
        </w:tc>
        <w:tc>
          <w:tcPr>
            <w:tcW w:w="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2,672,500</w:t>
            </w:r>
          </w:p>
        </w:tc>
        <w:tc>
          <w:tcPr>
            <w:tcW w:w="0" w:type="dxa"/>
            <w:vAlign w:val="bottom"/>
          </w:tcPr>
          <w:p>
            <w:pPr>
              <w:spacing w:after="0"/>
              <w:rPr>
                <w:sz w:val="1"/>
                <w:szCs w:val="1"/>
                <w:color w:val="auto"/>
              </w:rPr>
            </w:pPr>
          </w:p>
        </w:tc>
      </w:tr>
      <w:tr>
        <w:trPr>
          <w:trHeight w:val="198"/>
        </w:trPr>
        <w:tc>
          <w:tcPr>
            <w:tcW w:w="1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pre-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funded warrants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131,481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pursuant to</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agreements</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79,199</w:t>
            </w:r>
          </w:p>
        </w:tc>
        <w:tc>
          <w:tcPr>
            <w:tcW w:w="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79,200</w:t>
            </w:r>
          </w:p>
        </w:tc>
        <w:tc>
          <w:tcPr>
            <w:tcW w:w="0" w:type="dxa"/>
            <w:vAlign w:val="bottom"/>
          </w:tcPr>
          <w:p>
            <w:pPr>
              <w:spacing w:after="0"/>
              <w:rPr>
                <w:sz w:val="1"/>
                <w:szCs w:val="1"/>
                <w:color w:val="auto"/>
              </w:rPr>
            </w:pPr>
          </w:p>
        </w:tc>
      </w:tr>
      <w:tr>
        <w:trPr>
          <w:trHeight w:val="198"/>
        </w:trPr>
        <w:tc>
          <w:tcPr>
            <w:tcW w:w="1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Round up share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due to</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split</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223,573</w:t>
            </w:r>
          </w:p>
        </w:tc>
        <w:tc>
          <w:tcPr>
            <w:tcW w:w="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223,573</w:t>
            </w:r>
          </w:p>
        </w:tc>
        <w:tc>
          <w:tcPr>
            <w:tcW w:w="0" w:type="dxa"/>
            <w:vAlign w:val="bottom"/>
          </w:tcPr>
          <w:p>
            <w:pPr>
              <w:spacing w:after="0"/>
              <w:rPr>
                <w:sz w:val="1"/>
                <w:szCs w:val="1"/>
                <w:color w:val="auto"/>
              </w:rPr>
            </w:pPr>
          </w:p>
        </w:tc>
      </w:tr>
      <w:tr>
        <w:trPr>
          <w:trHeight w:val="230"/>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(2,826,737)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(2,826,737)</w:t>
            </w: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March 31,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5,062</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834,903</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 (7,168)</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$ 117,276,079</w:t>
            </w:r>
          </w:p>
        </w:tc>
        <w:tc>
          <w:tcPr>
            <w:tcW w:w="40" w:type="dxa"/>
            <w:vAlign w:val="bottom"/>
            <w:shd w:val="clear" w:color="auto" w:fill="CCEEFF"/>
          </w:tcPr>
          <w:p>
            <w:pPr>
              <w:spacing w:after="0"/>
              <w:rPr>
                <w:sz w:val="23"/>
                <w:szCs w:val="23"/>
                <w:color w:val="auto"/>
              </w:rPr>
            </w:pP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(106,045,861)</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11,223,134</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80" w:right="1460" w:hanging="2072"/>
        <w:spacing w:after="0" w:line="530" w:lineRule="auto"/>
        <w:tabs>
          <w:tab w:leader="none" w:pos="33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gross proceeds of $1,999,791 less cash issuance costs of $282,849 and a non-cash warrant modification charge of $53,890 The accompanying notes are an integral part of these condensed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6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(2,256,930)</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(2,826,737)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pursuant to vendor agreements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79,200</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rent expense</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(313,905)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(651,017)</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191,445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(303,837)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(8,656)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445,061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(299,563)</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(1,772,052)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(3,776,598)</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of warrants</w:t>
            </w: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1,999,791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and issuance costs associated with warrant issuance</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(147,131)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1,852,660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 (Decrease) in Cash</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80,608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(1,104,098)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1,530,924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3,137,674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9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1,611,532</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2,033,576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192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53,890</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for private placement costs</w:t>
            </w:r>
          </w:p>
        </w:tc>
        <w:tc>
          <w:tcPr>
            <w:tcW w:w="7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135,718</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Organization, Nature of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disclosures required by accounting principles generally accepted in the United States of America for annual financial statements. In the opinion of management, such statements include all adjustments (consisting only of normal recurring items) which are considered necessary for a fair presentation of the unaudited condensed consolidated financial statements of the Company as of March 31, 2025 and for the three months ended March 31, 2025 and 2024. The results of operations for the three months ended March 31, 2025 are not necessarily indicative of the operating results for the full year. It is suggested that these unaudited condensed consolidated financial statements be read in conjunction with the consolidated financial statements and notes thereto included in the Company’s annual report on Form 10-K for the year ended December 31, 2024, filed with the Securities and Exchange Commission (“SEC”) on March 27,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2024, 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was proportionally decreased, and the corresponding conversion price or exercise price was proportionally increased. No fractional shares were issued as a result of the 2024 Reverse Split.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all share and per share amounts for all periods presented in these financial statements and notes thereto have been adjusted retroactively, where applicable, to reflect the 2024 Reverse Split and adjustment of the conversion price or exercise price of each outstanding equity award, convertible security and warrant as if the transaction had occurred as of the beginning of the earliest period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 and Management’s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relating to the recoverability and classification of asset amounts or the classification of liabilities that might be necessary should the Company be unable to continue as a going concern.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cash of approximately $1.6 million and a working capital deficit of approximately $9.9 million. During the three months ended March 31, 2025, the Company incurred a net loss of approximately $2.3 million and used cash in operations of approximately $1.8 million. The Company has an accumulated deficit of approximately $114.9 million as of March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Consequently, the Company will be required to raise additional funds through equity or debt financing.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date the Company’s December 31, 2024 financial statements were issued in its 2024 Annual Report on Form 10-K, there have been no material changes to the Company’s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share based compensation and acquired intangible assets,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vested common shares outstanding during the period. Diluted net income per common share is computed by dividing net income by the weighted average number of common and dilutive common-equivalent shares outstanding during each period. The following table presents the computation of basic and diluted net loss per common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(2,256,930)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(2,826,737)</w:t>
            </w:r>
          </w:p>
        </w:tc>
      </w:tr>
      <w:tr>
        <w:trPr>
          <w:trHeight w:val="196"/>
        </w:trPr>
        <w:tc>
          <w:tcPr>
            <w:tcW w:w="5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Denominator (weighted average quantities):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2,545,524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623,600</w:t>
            </w: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Prefunded warrants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561,404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and diluted net loss per share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from the calculation of diluted net loss per share because to do so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33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560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r>
      <w:tr>
        <w:trPr>
          <w:trHeight w:val="237"/>
        </w:trPr>
        <w:tc>
          <w:tcPr>
            <w:tcW w:w="56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Warrants </w:t>
            </w:r>
            <w:r>
              <w:rPr>
                <w:rFonts w:ascii="Times New Roman" w:cs="Times New Roman" w:eastAsia="Times New Roman" w:hAnsi="Times New Roman"/>
                <w:sz w:val="27"/>
                <w:szCs w:val="27"/>
                <w:color w:val="auto"/>
                <w:vertAlign w:val="superscript"/>
              </w:rPr>
              <w:t>[1]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3,852,258</w:t>
            </w: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689,520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9,603</w:t>
            </w:r>
          </w:p>
        </w:tc>
        <w:tc>
          <w:tcPr>
            <w:tcW w:w="4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10,243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2,067</w:t>
            </w:r>
          </w:p>
        </w:tc>
        <w:tc>
          <w:tcPr>
            <w:tcW w:w="4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2,067</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60" w:hanging="157"/>
        <w:spacing w:after="0" w:line="210" w:lineRule="auto"/>
        <w:tabs>
          <w:tab w:leader="none" w:pos="36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per of the InflamaCORE, LLC licence agreement, warrants to purchase 342 shares of common stock are to be issued upon the satisfaction of certain milestones and, accordingly, are not included in the amount currently reported. See Note 6- Commitments and Contingencies -License Agreements for details.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operating and reporting segment (clinical stage biopharmaceutical), namely, the development of drugs for patients with chronic renal or inflammatory diseases with high unmet medical needs. The accounting policies of the segment are the same as those described in the summary of significant accounting policies. The chief operating decision maker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condensed consolidated statements of operations. The measure of segment assets is reported on the balance sheet as total assets. The Company has not yet generated any revenue from product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Concentration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accounts payable to one vendor accounted for 55% and 56%, respectively, related to research and development. The Company relies on this vendor to perform critical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2023-09 are effective for fiscal years beginning after December 15, 2024, with early adoption permitted. The Company is currently evaluating the impact of this standard but does not expect it to have a material impact on its financial statements.</w:t>
      </w:r>
    </w:p>
    <w:p>
      <w:pPr>
        <w:sectPr>
          <w:pgSz w:w="11900" w:h="16838" w:orient="portrait"/>
          <w:cols w:equalWidth="0" w:num="1">
            <w:col w:w="11240"/>
          </w:cols>
          <w:pgMar w:left="320" w:top="684" w:right="339" w:bottom="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and intangible asset amortization.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accrual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1,101,584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1,039,338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Bonus accrual</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726,938</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536,500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accrual</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388,450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268,972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111,831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41,970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issuable equity</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62,900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delay liability</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7,261</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2,398,964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provisions for the three months ended March 31, 2025 and 2024 were computed using the estimated effective tax rates applicable to the taxable jurisdictions for the full year. The Company’s tax rate is subject to management’s quarterly review and revision, as necessary. The Company’s effective tax rate was 0.00% and 0.00% for the three months ended March 31, 2025 and 2024, because the Company has significant net deferred tax assets, including those associated with net operating losses, that are subject to a full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Litigations, Claims and Assessments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Disputed Vendor Invoices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2024 and July 1, 2024, the Company received two invoices from a vendor in the amounts of $992,176 and $162,800, respectively. The June 30, 2024 invoice represents retroactive interest on invoices going back to September 30, 2022. The July 1, 2024 invoice included miscellaneous unsupported charges performed over the past several years. On August 1, 2024, ZyVersa management sent the vendor a letter disputing the interest and unsupported charges and has requested the vendor to rescind each of them. Although the Company has requested the vendor to rescind the retroactive interest on invoices, the Company believes that in accordance with the agreement, the vendor can legally charge the Company interest from the point they were notified of the vendor’s intent to charge interest. As such, the Company included the calculated interest from July 1, 2024 to March 31, 2025 of $388,450 within accrued expenses and other current liabilities on the condensed consolidated balance sheet at March 31, 2025. The vendor also updated certain interest calculations such that, at March 31, 2025, the vendors interest claim that has not been accrued by the Company is $941,074.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L&amp;F Research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L&amp;F Research LLC (“L&amp;F”) effective December 15, 2015, as amended (the “L&amp;F License Agreement”) pursuant to which L&amp;F granted the Company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focal segmental glomerulosclerosis.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2023, the Company and L&amp;F executed an Amendment and Restatement Agreement that waived L&amp;F’s right to terminate the L&amp;F License Agreement or any other remedies, for non-payment of the First Milestone Payment, until (a) March 31, 2023 as to $1,000,000 of such milestone payments (“Waiver A”) and (b) January 31, 2024 as to $500,000 milestone payments (“Waiver B”). Waiver A was contingent upon (i) forgiveness by the Company of $351,579 in aggregate principal amount outstanding under a certain convertible note, and (ii) a cash payment by the Company to L&amp;F in the amount of $648,421, on or before March 31, 2023. Waiver B was contingent upon a cash payment by the Company to L&amp;F in the amount of $500,000 on or before the earlier of (x) January 31, 2024, and (y) ten business days from the date that the Company received net proceeds of at least $30,000,000 from the issuance of new equity capital. All other terms of the L&amp;F License Agreement remain in effect.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2023, the Company paid the $648,421 of cash to L&amp;F, thus meeting the conditions of Waiver A, which also had the effect of canceling the Note Receivable and the Put Option and resulted in a reclassification of 188 shares of common stock and $331,331 classified as temporary equity to permanent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2024, the Company paid $500,000 of cash to L&amp;F, thus meeting the conditions of Waiver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18, 2019, the Company entered into a lease agreement for approximately 3,500 square feet of office space in Weston, Florida for a term of five years. Under the lease agreement, the annual base rent, which excludes the Company’s share of taxes and operating costs, was approximately $89,000 for the first year and has increased approximately 3% every year thereafter for a total base rent lease commitment of approximately $497,000. On January 15, 2024, the Company extended the lease for an additional year for a total base rent lease commitment of $112,064. On January 9, 2025, the Company extended the lease for an additional year for a total base rent lease commitment of approximately $120,819. The Company used the short-term lease practical expedient which permits the Company to not capitalize leases with a term equal to or less than 12 months.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rent expense in connection with its operating lease for the three months ended March 31, 2025 and 2024 of $44,196 and $22,047,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20, 2025, the Company entered into a marketing agreement with a vendor in which the Company issued 100,000 shares of common stock and cash in exchange for digital marketing services. The fair value of the common stock was established as a prepaid expense and the Company is recognizing $70,100 of the expense over the three-month term of the contract. As of March 31, 2025, the Company had not yet issued the 100,000 shares of common stock and therefore classified the fair value of the common stock as accrued issuable equity within accrued expenses and other current liabilities on the condensed consolidated balance sheet using the market value of $62,900 on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11, 2025, the Company issued the 100,000 shares of common stock to the vendor.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stock-based compensation expense of $72,291 (of which, $15,447 was included in research and development and $56,844 was included in general and administrative expense) related to options issued to employees and consultants. For the three months ended March 31, 2024 the Company recorded stock-based compensation expense of $223,573 (of which, $15,447 was included in research and development and $208,126 was included in general and administrative expense) related to options issued to employees and consultants. As of March 31, 2025 there was $249,602 of unrecognized stock-based compensation expense, which the Company expects to recognize over a weighted average period of 1.1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three months ended March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474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9,612</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2,248.58</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1,760.50</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March 31,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7,013</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3,014.29</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options as of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30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4020" w:type="dxa"/>
            <w:vAlign w:val="bottom"/>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1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0"/>
        </w:trPr>
        <w:tc>
          <w:tcPr>
            <w:tcW w:w="120" w:type="dxa"/>
            <w:vAlign w:val="bottom"/>
          </w:tcPr>
          <w:p>
            <w:pPr>
              <w:spacing w:after="0"/>
              <w:rPr>
                <w:sz w:val="19"/>
                <w:szCs w:val="19"/>
                <w:color w:val="auto"/>
              </w:rPr>
            </w:pPr>
          </w:p>
        </w:tc>
        <w:tc>
          <w:tcPr>
            <w:tcW w:w="2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Remaining Life</w:t>
            </w: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120" w:type="dxa"/>
            <w:vAlign w:val="bottom"/>
          </w:tcPr>
          <w:p>
            <w:pPr>
              <w:spacing w:after="0"/>
              <w:rPr>
                <w:sz w:val="20"/>
                <w:szCs w:val="20"/>
                <w:color w:val="auto"/>
              </w:rPr>
            </w:pPr>
          </w:p>
        </w:tc>
        <w:tc>
          <w:tcPr>
            <w:tcW w:w="2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0"/>
        </w:trPr>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738.50</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791.00</w:t>
            </w: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1,760.50</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1,270</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1,270</w:t>
            </w:r>
          </w:p>
        </w:tc>
        <w:tc>
          <w:tcPr>
            <w:tcW w:w="60" w:type="dxa"/>
            <w:vAlign w:val="bottom"/>
          </w:tcPr>
          <w:p>
            <w:pPr>
              <w:spacing w:after="0"/>
              <w:rPr>
                <w:sz w:val="18"/>
                <w:szCs w:val="18"/>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3,965.50</w:t>
            </w: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4,053.00</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2,095</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8"/>
                <w:szCs w:val="18"/>
                <w:color w:val="auto"/>
              </w:rPr>
            </w:pPr>
          </w:p>
        </w:tc>
      </w:tr>
      <w:tr>
        <w:trPr>
          <w:trHeight w:val="230"/>
        </w:trPr>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5,726.00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6"/>
        </w:trPr>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9,603</w:t>
            </w:r>
          </w:p>
        </w:tc>
        <w:tc>
          <w:tcPr>
            <w:tcW w:w="2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7,013</w:t>
            </w:r>
          </w:p>
        </w:tc>
        <w:tc>
          <w:tcPr>
            <w:tcW w:w="6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7, 2025, the Company closed on a private placement (the “Private Placement”) with an institutional investor, pursuant to which the Company sold pre-funded warrants (the “March 2025 Pre-Funded Warrants”) to purchase 2,105,265 shares of common stock and Series A-3 common warrants (the “March 2025 Common Warrants”) to purchase 2,105,265 shares of common stock at a combined purchase price of $0.9499 which resulted in gross proceeds of approximately $2.0 million. In addition, the Company and the investor entered into an amendment to certain November 5, 2024 common share purchase warrants to reduce the exercise price of certain outstanding warrants to purchase 957,200 shares of common stock from $2.06 per share to $1.00 per share. The $53,890 incremental fair value of the modified warrants as compared to the original warrants was recognized as an additional issuance cost of the Private Placement. The March 2025 Pre-Funded Warrants are exercisable immediately, may be exercised at any time until all March 2025 Pre-Funded Warrants are exercised in full, and have an exercise price of $0.0001 per share. The March 2025 Common Warrants are exercisable upon Stockholder Approval for a term of five years following stockholder approval and have an exercise price of $1.00 per share. Total cash issuance costs were $282,849 including $199,863 of placement fees, $56,844 of legal fees, and $26,142 of other costs.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modification date fair value of warrants modified during the three months ended March 31, 2025 and 2024 was determined using the Black Scholes method, with the following assumptions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260" w:type="dxa"/>
            <w:vAlign w:val="bottom"/>
          </w:tcPr>
          <w:p>
            <w:pPr>
              <w:spacing w:after="0"/>
              <w:rPr>
                <w:sz w:val="19"/>
                <w:szCs w:val="19"/>
                <w:color w:val="auto"/>
              </w:rPr>
            </w:pPr>
          </w:p>
        </w:tc>
      </w:tr>
      <w:tr>
        <w:trPr>
          <w:trHeight w:val="238"/>
        </w:trPr>
        <w:tc>
          <w:tcPr>
            <w:tcW w:w="4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on date of grant</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0"/>
              </w:rPr>
              <w:t>n/a</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3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2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5.3 years</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26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2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2260" w:type="dxa"/>
            <w:vAlign w:val="bottom"/>
          </w:tcPr>
          <w:p>
            <w:pPr>
              <w:spacing w:after="0"/>
              <w:rPr>
                <w:sz w:val="18"/>
                <w:szCs w:val="18"/>
                <w:color w:val="auto"/>
              </w:rPr>
            </w:pPr>
          </w:p>
        </w:tc>
      </w:tr>
      <w:tr>
        <w:trPr>
          <w:trHeight w:val="432"/>
        </w:trPr>
        <w:tc>
          <w:tcPr>
            <w:tcW w:w="4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 activity for the three months ended March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0"/>
        </w:trPr>
        <w:tc>
          <w:tcPr>
            <w:tcW w:w="4740" w:type="dxa"/>
            <w:vAlign w:val="bottom"/>
          </w:tcPr>
          <w:p>
            <w:pPr>
              <w:spacing w:after="0"/>
              <w:rPr>
                <w:sz w:val="19"/>
                <w:szCs w:val="19"/>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1,747,093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59.59</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47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Issued</w:t>
            </w:r>
            <w:r>
              <w:rPr>
                <w:rFonts w:ascii="Times New Roman" w:cs="Times New Roman" w:eastAsia="Times New Roman" w:hAnsi="Times New Roman"/>
                <w:sz w:val="29"/>
                <w:szCs w:val="29"/>
                <w:color w:val="auto"/>
                <w:vertAlign w:val="superscript"/>
              </w:rPr>
              <w:t>[1]</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2,105,265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7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Old </w:t>
            </w:r>
            <w:r>
              <w:rPr>
                <w:rFonts w:ascii="Times New Roman" w:cs="Times New Roman" w:eastAsia="Times New Roman" w:hAnsi="Times New Roman"/>
                <w:sz w:val="29"/>
                <w:szCs w:val="29"/>
                <w:color w:val="auto"/>
                <w:vertAlign w:val="superscript"/>
              </w:rPr>
              <w:t>[2]</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(957,200)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w:t>
            </w: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7"/>
        </w:trPr>
        <w:tc>
          <w:tcPr>
            <w:tcW w:w="47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Repriced - New </w:t>
            </w:r>
            <w:r>
              <w:rPr>
                <w:rFonts w:ascii="Times New Roman" w:cs="Times New Roman" w:eastAsia="Times New Roman" w:hAnsi="Times New Roman"/>
                <w:sz w:val="29"/>
                <w:szCs w:val="29"/>
                <w:color w:val="auto"/>
                <w:vertAlign w:val="superscript"/>
              </w:rPr>
              <w:t>[2]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957,200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64"/>
        </w:trPr>
        <w:tc>
          <w:tcPr>
            <w:tcW w:w="47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Outstanding, March 31, 2025</w:t>
            </w:r>
            <w:r>
              <w:rPr>
                <w:rFonts w:ascii="Times New Roman" w:cs="Times New Roman" w:eastAsia="Times New Roman" w:hAnsi="Times New Roman"/>
                <w:sz w:val="29"/>
                <w:szCs w:val="29"/>
                <w:color w:val="auto"/>
                <w:vertAlign w:val="superscript"/>
              </w:rPr>
              <w:t>[1]</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3,852,258</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4"/>
        </w:trPr>
        <w:tc>
          <w:tcPr>
            <w:tcW w:w="47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Exercisable, March 31, 2025</w:t>
            </w:r>
            <w:r>
              <w:rPr>
                <w:rFonts w:ascii="Times New Roman" w:cs="Times New Roman" w:eastAsia="Times New Roman" w:hAnsi="Times New Roman"/>
                <w:sz w:val="29"/>
                <w:szCs w:val="29"/>
                <w:color w:val="auto"/>
                <w:vertAlign w:val="superscript"/>
              </w:rPr>
              <w:t>[1]</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1,746,793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58.71</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outstanding, and exercisable exclude 2,105,265 March 2025 Pre-Funded Warrants with an exercise price of $0.0001.</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 the reset of the exercise price of certain November 2024 warrants to purchase 957,200 shares of common stock from $2.06 to $1.00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related to stock warrants as of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1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Borders>
              <w:bottom w:val="single" w:sz="8" w:color="auto"/>
            </w:tcBorders>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tcPr>
          <w:p>
            <w:pPr>
              <w:jc w:val="center"/>
              <w:ind w:right="6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320" w:type="dxa"/>
            <w:vAlign w:val="bottom"/>
          </w:tcPr>
          <w:p>
            <w:pPr>
              <w:spacing w:after="0"/>
              <w:rPr>
                <w:sz w:val="16"/>
                <w:szCs w:val="16"/>
                <w:color w:val="auto"/>
              </w:rPr>
            </w:pPr>
          </w:p>
        </w:tc>
        <w:tc>
          <w:tcPr>
            <w:tcW w:w="3600" w:type="dxa"/>
            <w:vAlign w:val="bottom"/>
            <w:gridSpan w:val="3"/>
          </w:tcPr>
          <w:p>
            <w:pPr>
              <w:jc w:val="center"/>
              <w:ind w:right="9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60" w:type="dxa"/>
            <w:vAlign w:val="bottom"/>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Pr>
          <w:p>
            <w:pPr>
              <w:spacing w:after="0"/>
              <w:rPr>
                <w:sz w:val="16"/>
                <w:szCs w:val="16"/>
                <w:color w:val="auto"/>
              </w:rPr>
            </w:pPr>
          </w:p>
        </w:tc>
      </w:tr>
      <w:tr>
        <w:trPr>
          <w:trHeight w:val="229"/>
        </w:trPr>
        <w:tc>
          <w:tcPr>
            <w:tcW w:w="580" w:type="dxa"/>
            <w:vAlign w:val="bottom"/>
          </w:tcPr>
          <w:p>
            <w:pPr>
              <w:spacing w:after="0"/>
              <w:rPr>
                <w:sz w:val="19"/>
                <w:szCs w:val="19"/>
                <w:color w:val="auto"/>
              </w:rPr>
            </w:pPr>
          </w:p>
        </w:tc>
        <w:tc>
          <w:tcPr>
            <w:tcW w:w="320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1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8"/>
        </w:trPr>
        <w:tc>
          <w:tcPr>
            <w:tcW w:w="580" w:type="dxa"/>
            <w:vAlign w:val="bottom"/>
          </w:tcPr>
          <w:p>
            <w:pPr>
              <w:spacing w:after="0"/>
              <w:rPr>
                <w:sz w:val="20"/>
                <w:szCs w:val="20"/>
                <w:color w:val="auto"/>
              </w:rPr>
            </w:pPr>
          </w:p>
        </w:tc>
        <w:tc>
          <w:tcPr>
            <w:tcW w:w="320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6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0"/>
        </w:trPr>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3,062,465</w:t>
            </w:r>
          </w:p>
        </w:tc>
        <w:tc>
          <w:tcPr>
            <w:tcW w:w="3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8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679,800</w:t>
            </w:r>
          </w:p>
        </w:tc>
        <w:tc>
          <w:tcPr>
            <w:tcW w:w="2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7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679,800</w:t>
            </w:r>
          </w:p>
        </w:tc>
      </w:tr>
      <w:tr>
        <w:trPr>
          <w:trHeight w:val="216"/>
        </w:trPr>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c>
          <w:tcPr>
            <w:tcW w:w="8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7,000</w:t>
            </w:r>
          </w:p>
        </w:tc>
        <w:tc>
          <w:tcPr>
            <w:tcW w:w="2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47.50</w:t>
            </w:r>
          </w:p>
        </w:tc>
        <w:tc>
          <w:tcPr>
            <w:tcW w:w="8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20,347</w:t>
            </w:r>
          </w:p>
        </w:tc>
        <w:tc>
          <w:tcPr>
            <w:tcW w:w="2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7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20,347</w:t>
            </w:r>
          </w:p>
        </w:tc>
      </w:tr>
      <w:tr>
        <w:trPr>
          <w:trHeight w:val="216"/>
        </w:trPr>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57.75</w:t>
            </w:r>
          </w:p>
        </w:tc>
        <w:tc>
          <w:tcPr>
            <w:tcW w:w="8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19,965</w:t>
            </w:r>
          </w:p>
        </w:tc>
        <w:tc>
          <w:tcPr>
            <w:tcW w:w="2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19,965</w:t>
            </w:r>
          </w:p>
        </w:tc>
      </w:tr>
      <w:tr>
        <w:trPr>
          <w:trHeight w:val="216"/>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350.00</w:t>
            </w:r>
          </w:p>
        </w:tc>
        <w:tc>
          <w:tcPr>
            <w:tcW w:w="8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27,551</w:t>
            </w:r>
          </w:p>
        </w:tc>
        <w:tc>
          <w:tcPr>
            <w:tcW w:w="2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7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27,551</w:t>
            </w:r>
          </w:p>
        </w:tc>
      </w:tr>
      <w:tr>
        <w:trPr>
          <w:trHeight w:val="216"/>
        </w:trPr>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700.00</w:t>
            </w:r>
          </w:p>
        </w:tc>
        <w:tc>
          <w:tcPr>
            <w:tcW w:w="8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13,944</w:t>
            </w:r>
          </w:p>
        </w:tc>
        <w:tc>
          <w:tcPr>
            <w:tcW w:w="2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13,944</w:t>
            </w:r>
          </w:p>
        </w:tc>
      </w:tr>
      <w:tr>
        <w:trPr>
          <w:trHeight w:val="216"/>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1,760.50</w:t>
            </w:r>
          </w:p>
        </w:tc>
        <w:tc>
          <w:tcPr>
            <w:tcW w:w="8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2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2,415.00</w:t>
            </w:r>
          </w:p>
        </w:tc>
        <w:tc>
          <w:tcPr>
            <w:tcW w:w="8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3,651</w:t>
            </w:r>
          </w:p>
        </w:tc>
        <w:tc>
          <w:tcPr>
            <w:tcW w:w="2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3,651</w:t>
            </w:r>
          </w:p>
        </w:tc>
      </w:tr>
      <w:tr>
        <w:trPr>
          <w:trHeight w:val="230"/>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4,025.00</w:t>
            </w:r>
          </w:p>
        </w:tc>
        <w:tc>
          <w:tcPr>
            <w:tcW w:w="820" w:type="dxa"/>
            <w:vAlign w:val="bottom"/>
          </w:tcPr>
          <w:p>
            <w:pPr>
              <w:spacing w:after="0"/>
              <w:rPr>
                <w:sz w:val="19"/>
                <w:szCs w:val="19"/>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17,335</w:t>
            </w:r>
          </w:p>
        </w:tc>
        <w:tc>
          <w:tcPr>
            <w:tcW w:w="2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70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17,335</w:t>
            </w:r>
          </w:p>
        </w:tc>
      </w:tr>
      <w:tr>
        <w:trPr>
          <w:trHeight w:val="223"/>
        </w:trPr>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3,852,258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Based upon the evaluation, the Company did not identify any recognized or non-recognized subsequent events that would have required adjustment or disclosure in the financial statements, except as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Subsequent to March 31, 2025, the Private Placement investor exercised 2,105,265 pre-funded warrants to purchase 2,105,265 shares of common stock at an exercise price of $0.0001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operations and financial condition of ZyVersa Therapeutics, Inc. (the “Company,” “we,” “us” or “our”) as of March 31, 2025 and for the three months ended March 31, 2025 and 2024 should be read in conjunction with our unaudited condensed consolidated financial statements and the notes to those financial statements that are included elsewhere in this Quarterly Report on Form 10-Q. This discussion and analysis should be read in conjunction with the Company’s audited financial statements and related disclosures as of December 31, 2024 and for the year then ended, which are included in the Form 10-K (the “Annual Report”) filed with the Securities and Exchange Commission (“SEC”) on March 27, 2025. This Management’s Discussion and Analysis of Financial Condition and Results of Operations contains statements that are forward-looking. These statements are based on current expectations and assumptions that are subject to risk, uncertainties and other factors. These statements are often identified by the use of words such as “may,” “will,” “expect,” “believe,” “anticipate,” “intend,” “could,” “estimate,” or “continue,” and similar expressions or variations. Actual results could differ materially because of the factors discussed in “Risk Factors” in our Annual Report, and other factors that we may not know. Except as otherwise required by applicable law, we disclaim any duty to update any forward-looking statements, all of which are expressly qualified by the statements above, to reflect events or circumstances after the date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clinical stage specialty biopharmaceutical company leveraging advanced proprietary technologies to develop first-in-class drugs for patients with renal or inflammatory diseases with high unmet medical needs.</w:t>
      </w:r>
    </w:p>
    <w:p>
      <w:pPr>
        <w:spacing w:after="0" w:line="16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Our lead renal drug candidate, which we refer to as Cholesterol Efflux Mediator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VAR 200 (2-hydroxypropyl-beta-cyclodextrin or “2HβCD”), is in development to treat multiple renal indications. Our lead anti-inflammatory drug candidate, which we refer to as Inflammasome ASC Inhibitor IC 100, is a humanized monoclonal IgG4 antibody targeting ASC in development to treat multiple inflammatory diseases.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to date and have incurred significant operating losses. Our net losses were $2.3 million for the period from January 1, 2025 through March 31, 2025, compared to $2.8 million for the period from January 1, 2024 through March 31, 2024. As of March 31, 2025, we had an accumulated deficit of approximately $114.9 million and cash of $1.6 million. We expect to continue to incur significant expenses for the foreseeable future and to incur operating losses. We expect our expenses will increase in connection with our ongoing activities as we:</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development of VAR 200 and IC 100;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regulatory submissions;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to manufacture our product candidates for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finance, and general and administrative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defend our intellectual property;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being a public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of costs incurred in the discovery and development of our product candidates, and primarily include:</w:t>
      </w:r>
    </w:p>
    <w:p>
      <w:pPr>
        <w:spacing w:after="0" w:line="225"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third party agreements with contract research organizations (“CROs”), and investigative sites, that conducted or will conduct our clinical trials and a portion of our pre-clinical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as well as manufacturing cost of our materials used in clinical trials and other development testing;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stock-based compensation and benefits of employees engaged in research and development activities;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equipment, depreciation and other allocated expenses;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for contracted regulatory services as well as fees paid to regulatory authorities including the US Food and Drug Administration (the “FDA”) for review and approval of our product candidates.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continue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any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as a result of many factors, including:</w:t>
      </w:r>
    </w:p>
    <w:p>
      <w:pPr>
        <w:spacing w:after="0" w:line="180"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patient populations participating in the clinical trials;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a patient receives;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state of the product candidates;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likely millions of dollars in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 information technology, office, and travel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continue to explore commercial opportunities and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day, future changes in trade regulations, tariff structures, or logistical constraints could influence the cost, availability, or timing of materials, services and other components associated with the development of our product candidates and manufacturing capabilities. We continue to monitor these developments closely to maintain operational efficiency and help mitigate potential future impacts.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the three months ended March 31,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(Unfavorable)</w:t>
            </w: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gridSpan w:val="2"/>
          </w:tcPr>
          <w:p>
            <w:pPr>
              <w:spacing w:after="0"/>
              <w:rPr>
                <w:sz w:val="19"/>
                <w:szCs w:val="19"/>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4740" w:type="dxa"/>
            <w:vAlign w:val="bottom"/>
            <w:gridSpan w:val="2"/>
            <w:shd w:val="clear" w:color="auto" w:fill="CCEEFF"/>
          </w:tcPr>
          <w:p>
            <w:pPr>
              <w:jc w:val="center"/>
              <w:ind w:right="2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2,314</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10"/>
        </w:trPr>
        <w:tc>
          <w:tcPr>
            <w:tcW w:w="4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(2,827)</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5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$259 thousand for the three months ended March 31, 2025, a decrease of $254 thousand or 49.5% from the three months ended March 31, 2024. The decrease is attributable to lower manufacturing costs of IC100 of $62 thousand, lower CRO fees of $106 thousand for VAR200 and lower research and development consultant costs of $95 thousand due to fewer consultants.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$1.9 million for the three months ended March 31, 2025, a decrease of $428 thousand or 18.5% from the three months ended March 31, 2024. The decrease is primarily attributable to a decrease of $156 thousand in stock-based compensation expense due to options becoming fully amortized in January 2025, a decrease of $143 thousand due to lower director and officer insurance, and a $119 thousand decrease in investor and public relations marketing expense due to fewer firms hired.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was $112 thousand for the three months ended March 31, 2025, an increase of $112 thousand from the three months ended March 31, 2024. The increase in expense is attributable to interest charged by a vendor for outstanding amounts owed.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and financing activities for the three months ended March 31, 2025 and for the three months ended March 31, 2024:</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284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200" w:type="dxa"/>
            <w:vAlign w:val="bottom"/>
          </w:tcPr>
          <w:p>
            <w:pPr>
              <w:spacing w:after="0"/>
              <w:rPr>
                <w:sz w:val="20"/>
                <w:szCs w:val="20"/>
                <w:color w:val="auto"/>
              </w:rPr>
            </w:pPr>
          </w:p>
        </w:tc>
        <w:tc>
          <w:tcPr>
            <w:tcW w:w="17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60" w:type="dxa"/>
            <w:vAlign w:val="bottom"/>
            <w:gridSpan w:val="2"/>
          </w:tcPr>
          <w:p>
            <w:pPr>
              <w:spacing w:after="0"/>
              <w:rPr>
                <w:sz w:val="19"/>
                <w:szCs w:val="19"/>
                <w:color w:val="auto"/>
              </w:rPr>
            </w:pPr>
          </w:p>
        </w:tc>
      </w:tr>
      <w:tr>
        <w:trPr>
          <w:trHeight w:val="407"/>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(3,777)</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c>
          <w:tcPr>
            <w:tcW w:w="40" w:type="dxa"/>
            <w:vAlign w:val="bottom"/>
          </w:tcPr>
          <w:p>
            <w:pPr>
              <w:spacing w:after="0"/>
              <w:rPr>
                <w:sz w:val="24"/>
                <w:szCs w:val="24"/>
                <w:color w:val="auto"/>
              </w:rPr>
            </w:pPr>
          </w:p>
        </w:tc>
      </w:tr>
      <w:tr>
        <w:trPr>
          <w:trHeight w:val="248"/>
        </w:trPr>
        <w:tc>
          <w:tcPr>
            <w:tcW w:w="2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38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w:t>
            </w:r>
          </w:p>
        </w:tc>
        <w:tc>
          <w:tcPr>
            <w:tcW w:w="4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-325120</wp:posOffset>
            </wp:positionV>
            <wp:extent cx="64122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-608330</wp:posOffset>
            </wp:positionV>
            <wp:extent cx="64122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700"/>
          </w:cols>
          <w:pgMar w:left="320" w:top="68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$1.8 million and $3.8 million for the three months ended March 31, 2025 and 2024, respectively. For the three months ended March 31, 2025 and for the three months ended March 31, 2024, the net cash used in operating activities was primarily attributable to the net loss of approximately $2.3 million and $2.8 million, respectively, offset by $0.2 million and $0.3 million, respectively, of net non-cash expenses, and approximately $0.3 million and ($1.3) million, respectively, of cash generated from (used for) changes in the levels of operating assets and liabilities,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$1.9 million and $2.7 million for the three months ended March 31, 2025 and 2024, respectively. Cash provided by financing activities during the three months ended March 31, 2025 represented proceeds of $2.0 million from the private placement of pre-funded warrants and warrants offset by $0.1 million of cash registration and issuance costs associated with the warrant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current assets, liabilities and working capital deficiency at March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2,110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Working Capital Deficiency</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(9,894</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in 2014 through March 31, 2025, we have not generated any revenue and have incurred significant operating losses and negative cash flows from our operations. Based on our current operating plan, we expect our cash of $1.6 million as of March 31, 2025 will only be sufficient to fund our operating expenses and capital expenditure requirements on a month-to-month basis. However,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The financial statements do not include any adjustments to reflect the possible future effects on the recoverability and classification of assets or the amounts and classification of liabilities that may result from the possible inability of us to continue as a going concern, which contemplates the continuation of operations, realization of assets and liquidation of liabilities in the ordinary course of business. We incurred a net loss of $2.3 million for the three months ended March 31, 2025 and had an accumulated deficit of $114.9 million on March 31, 2025. We anticipate incurring additional losses until such time, if ever, that we can generate significant revenue from our product candidates currently in development. Our primary source of capital has been the issuance of debt and equity securities. We believe that current cash is only sufficient to fund operations and capital requirements on a month-to-month basis. Additional financing will be needed by us to fund our operations, to complete development of and to commercially develop our product candidates. There is no assurance that such financing will be available when needed or on acceptable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contractual obligations as of March 31, 2025 that will affect our future liquidity. Based on our current operating plan, we plan to satisfy the obligations identified below from our current cash balance and future financing.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requirements for our current liabilities as of March 31, 2025 include approximately $12.0 million for accounts payable and accrued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Capital Needs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expect our cash on hand will enable us to make investments in our continued development of VAR 200 and IC 100 on a month-to-month basis as cash is available. We intend to raise additional capital in the future to fund continued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raise additional capital by issuing equity, equity-linked securities, or debt in subsequent offerings. If we are unable to raise additional capital on terms favorable to us, we may not have sufficient liquidity to execute our business strategy. We have various warrants outstanding that can be exercised for our common stock, many of which must be exercised in exchange for cash paid to us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invest any cash in excess of our immediate requirements in investments designed to preserve the principal balance and provide liquidity while producing a modest return on investment. Accordingly, our excess cash equivalents will be invested primarily in money market funds.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continue to incur substantial additional operating losses for at least the next several years as we continue to develop our product candidates and seek marketing approval and, subject to obtaining such approval, the eventual commercialization of our product candidates. If we obtain marketing approval for our product candidates, we will incur significant sales, marketing and outsourced manufacturing expenses. In addition, we expect to incur additional expenses to add operational, financial and information systems and personnel, including personnel to support our planned product commercialization efforts. We also expect to incur significant costs to comply with corporate governance, internal controls and similar requirements applicable to us as a public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use of operating cash and capital requirements will depend on many forward-looking factors, including the following:</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our product candidates;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each product candidate;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may in-license;</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collaboration agreements we may choose to execute;</w:t>
      </w:r>
    </w:p>
    <w:p>
      <w:pPr>
        <w:spacing w:after="0" w:line="225" w:lineRule="exact"/>
        <w:rPr>
          <w:rFonts w:ascii="Times New Roman" w:cs="Times New Roman" w:eastAsia="Times New Roman" w:hAnsi="Times New Roman"/>
          <w:sz w:val="18"/>
          <w:szCs w:val="18"/>
          <w:color w:val="auto"/>
        </w:rPr>
      </w:pPr>
    </w:p>
    <w:p>
      <w:pPr>
        <w:ind w:left="1340" w:right="20" w:hanging="671"/>
        <w:spacing w:after="0" w:line="282"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w:t>
      </w:r>
    </w:p>
    <w:p>
      <w:pPr>
        <w:spacing w:after="0" w:line="225" w:lineRule="exact"/>
        <w:rPr>
          <w:rFonts w:ascii="Times New Roman" w:cs="Times New Roman" w:eastAsia="Times New Roman" w:hAnsi="Times New Roman"/>
          <w:sz w:val="18"/>
          <w:szCs w:val="18"/>
          <w:color w:val="auto"/>
        </w:rPr>
      </w:pPr>
    </w:p>
    <w:p>
      <w:pPr>
        <w:ind w:left="1340" w:hanging="671"/>
        <w:spacing w:after="0"/>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the implementation of commercial scale manufacturing activities; and</w:t>
      </w:r>
    </w:p>
    <w:p>
      <w:pPr>
        <w:spacing w:after="0" w:line="225" w:lineRule="exact"/>
        <w:rPr>
          <w:rFonts w:ascii="Times New Roman" w:cs="Times New Roman" w:eastAsia="Times New Roman" w:hAnsi="Times New Roman"/>
          <w:sz w:val="18"/>
          <w:szCs w:val="18"/>
          <w:color w:val="auto"/>
        </w:rPr>
      </w:pPr>
    </w:p>
    <w:p>
      <w:pPr>
        <w:ind w:left="1340" w:right="20" w:hanging="671"/>
        <w:spacing w:after="0" w:line="282"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or outsourcing,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and develop additional products and product candidates to augment our internal development pipeline. Strategic transaction opportunities that we may pursue could materially affect our liquidity and capital resources and may require us to incur additional indebtedness, seek equity capital or both. In addition, we may pursue development, acquisition or in-licensing of approved or development products in new or existing therapeutic areas or continue the expansion of our existing operations. Accordingly, we expect to continue to opportunistically seek access to additional capital to license or acquire additional products, product candidates or companies to expand our operations, or for general corporate purposes. Strategic transactions may require us to raise additional capital through one or more public or private debt or equity financings or could be structured as a collaboration or partnering arrangement. We have no arrangements, agreements, or understandings in place at the present time to enter into any acquisition, in-licensing or similar strategic business transaction. In addition, we continue to evaluate commercial collaborations and strategic relationships with established pharmaceutical companies, which would provide us with more immediate access to marketing, sales, market access and distribution infrastructure.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would apply to private companies. ZyVersa expects to use this extended transition period to enable it to comply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2"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off-balance sheet arrangements between us and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Our critical accounting estimates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 and Goodwill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for the impairment of long-lived assets and goodwill whenever events or changes in circumstances indicate that the carrying amount of an asset may not be recoverable. The Company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 The evaluation of asset impairment requires the Company to make assumptions about future cash flows over the life of the asset being evaluated. These assumptions require significant judgment and actual results may differ from assumed and estimated amounts.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2025. Based upon their evaluation, our Chief Executive Officer and Chief Financial Officer concluded that our disclosure controls and procedures (as defined in Rules 13a-15(e) and 15d-15(e) under the Exchange Act)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implemented additional controls to address the material weakness identified as of December 31, 2024. This includes the implementation of proper segregation of duties controls between preparer and reviewer.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information required by this Item. However, investors are encouraged to review our current risk factors set forth in our Annual Report on Form 10-K for the year ended December 31, 2024, filed with the SEC on March 27,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(as defined in Rule 16a-1(f) under the Exchange Act) of the Company adopted, modified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40" w:type="dxa"/>
            <w:vAlign w:val="bottom"/>
            <w:tcBorders>
              <w:top w:val="single" w:sz="8" w:color="auto"/>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Second Amended and Restated Certificate of Incorporation of ZyVersa Therapeutics, Inc. (incorporated by reference to Exhibit 3.1 to the</w:t>
              </w:r>
            </w:hyperlink>
          </w:p>
        </w:tc>
        <w:tc>
          <w:tcPr>
            <w:tcW w:w="0" w:type="dxa"/>
            <w:vAlign w:val="bottom"/>
          </w:tcPr>
          <w:p>
            <w:pPr>
              <w:spacing w:after="0"/>
              <w:rPr>
                <w:sz w:val="1"/>
                <w:szCs w:val="1"/>
                <w:color w:val="auto"/>
              </w:rPr>
            </w:pPr>
          </w:p>
        </w:tc>
      </w:tr>
      <w:tr>
        <w:trPr>
          <w:trHeight w:val="19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Company’s Current Report on Form 10-Q filed with the SEC on August 9, 2024).</w:t>
              </w:r>
            </w:hyperlink>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Second Amended and Restated Bylaws of ZyVersa Therapeutics, Inc. (incorporated by reference to Exhibit 3.2 to the Company’s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Report on Form 8-K filed with the SEC on December 13,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Certificate of Designation relating to the Series A Convertible Preferred Stock (incorporated by reference to Exhibit 3.3 to the Company’s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Current Report on Form 8-K filed with the SEC on December 13, 2022).</w:t>
              </w:r>
            </w:hyperlink>
          </w:p>
        </w:tc>
        <w:tc>
          <w:tcPr>
            <w:tcW w:w="49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of Pre-Funded Warrant (incorporated by reference to Exhibit 4.1 to the Company’s Current Report on Form 8-K filed with the SEC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March 7, 2025).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Series A-3 Common Stock Purchase Warrant (incorporated by reference to Exhibit 4.2 to the Company’s Current Report on Form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8-K filed with the SEC on March 7,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Amendment to Common Share Purchase Warrant entered into by and between the Company and the Investor, dated March 5, 2025</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(incorporated by reference to Exhibit 4.3 to the Company’s Current Report on Form 8-K filed with the SEC on March 7, 2025).</w:t>
              </w:r>
            </w:hyperlink>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Securities Purchase Agreement, dated March 5, 2025, by and between the Company and the Investor named therein (incorporated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by reference to Exhibit 10.1 to the Company’s Current Report on Form 8-K filed with the SEC on March 7, 2025).</w:t>
              </w:r>
            </w:hyperlink>
          </w:p>
        </w:tc>
        <w:tc>
          <w:tcPr>
            <w:tcW w:w="1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Placement Agency Agreement (incorporated by reference to Exhibit 10.2 to the Company’s Current Report on Form 8-K filed with the SEC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on March 7, 2025).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62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or Rule 15d-14(a).</w:t>
            </w:r>
          </w:p>
        </w:tc>
        <w:tc>
          <w:tcPr>
            <w:tcW w:w="3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Rule 15d-14(a).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gridSpan w:val="7"/>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5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w:t>
            </w:r>
          </w:p>
        </w:tc>
        <w:tc>
          <w:tcPr>
            <w:tcW w:w="2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Inline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hereunto duly authorized.</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C, Glover</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 Glover,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May 12, 2025</w:t>
            </w:r>
          </w:p>
        </w:tc>
        <w:tc>
          <w:tcPr>
            <w:tcW w:w="75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Stephen C. Glover</w:t>
            </w:r>
          </w:p>
        </w:tc>
      </w:tr>
      <w:tr>
        <w:trPr>
          <w:trHeight w:val="191"/>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C. Glover</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ZYVERSA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Wolfe,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ZyVersa Therapeutics,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Peter Wolfe</w:t>
      </w:r>
    </w:p>
    <w:p>
      <w:pPr>
        <w:spacing w:after="0" w:line="3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ZyVersa Therapeutics, Inc. (the “Company”) on Form 10-Q for the quarter ended March 31, 2025, as filed with the Securities and Exchange Commission on the date hereof (the “Report”), each of the undersigned officers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Stephen C. Glover</w:t>
      </w:r>
    </w:p>
    <w:p>
      <w:pPr>
        <w:spacing w:after="0" w:line="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Stephen C. Glover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34201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color w:val="auto"/>
        </w:rPr>
        <w:t>Dated: May 12, 2025</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i w:val="1"/>
          <w:iCs w:val="1"/>
          <w:color w:val="auto"/>
        </w:rPr>
        <w:t>/s/ Peter Wolfe</w:t>
      </w:r>
    </w:p>
    <w:p>
      <w:pPr>
        <w:spacing w:after="0" w:line="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Peter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-127635</wp:posOffset>
            </wp:positionV>
            <wp:extent cx="34201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32" Type="http://schemas.openxmlformats.org/officeDocument/2006/relationships/hyperlink" Target="https://www.sec.gov/Archives/edgar/data/1859007/000149315224031002/ex3-1.htm" TargetMode="External"/><Relationship Id="rId33" Type="http://schemas.openxmlformats.org/officeDocument/2006/relationships/hyperlink" Target="https://www.sec.gov/Archives/edgar/data/1859007/000149315222035258/ex3-2.htm" TargetMode="External"/><Relationship Id="rId34" Type="http://schemas.openxmlformats.org/officeDocument/2006/relationships/hyperlink" Target="https://www.sec.gov/Archives/edgar/data/1859007/000149315222035258/ex3-3.htm" TargetMode="External"/><Relationship Id="rId35" Type="http://schemas.openxmlformats.org/officeDocument/2006/relationships/hyperlink" Target="https://www.sec.gov/Archives/edgar/data/1859007/000149315225009571/ex4-1.htm" TargetMode="External"/><Relationship Id="rId36" Type="http://schemas.openxmlformats.org/officeDocument/2006/relationships/hyperlink" Target="https://www.sec.gov/Archives/edgar/data/1859007/000149315225009571/ex4-2.htm" TargetMode="External"/><Relationship Id="rId37" Type="http://schemas.openxmlformats.org/officeDocument/2006/relationships/hyperlink" Target="https://www.sec.gov/Archives/edgar/data/1859007/000149315225009571/ex4-3.htm" TargetMode="External"/><Relationship Id="rId38" Type="http://schemas.openxmlformats.org/officeDocument/2006/relationships/hyperlink" Target="https://www.sec.gov/Archives/edgar/data/1859007/000149315225009571/ex10-1.htm" TargetMode="External"/><Relationship Id="rId39" Type="http://schemas.openxmlformats.org/officeDocument/2006/relationships/hyperlink" Target="https://www.sec.gov/Archives/edgar/data/1859007/000149315225009571/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2025-05-12T15:44:05Z</dcterms:created>
  <dcterms:modified xsi:type="dcterms:W3CDTF">2025-05-12T15:44:05Z</dcterms:modified>
</cp:coreProperties>
</file>