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3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9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3_edei--DocumentPeriodEndDate_c202"/>
      <w:bookmarkEnd w:id="4"/>
      <w:r>
        <w:rPr>
          <w:rFonts w:ascii="Times New Roman;Times;Serif" w:hAnsi="Times New Roman;Times;Serif"/>
          <w:b/>
          <w:i w:val="false"/>
          <w:caps w:val="false"/>
          <w:smallCaps w:val="false"/>
          <w:sz w:val="20"/>
        </w:rPr>
        <w:t xml:space="preserve">March 31, </w:t>
      </w:r>
      <w:bookmarkStart w:id="5" w:name="xdx_907_edei--DocumentFiscalYearFocus_c2"/>
      <w:bookmarkEnd w:id="5"/>
      <w:r>
        <w:rPr>
          <w:rFonts w:ascii="Times New Roman;Times;Serif" w:hAnsi="Times New Roman;Times;Serif"/>
          <w:b/>
          <w:i w:val="false"/>
          <w:caps w:val="false"/>
          <w:smallCaps w:val="false"/>
          <w:sz w:val="20"/>
        </w:rPr>
        <w:t>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1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6_edei--EntityFileNumber_c20230101"/>
      <w:bookmarkEnd w:id="7"/>
      <w:r>
        <w:rPr>
          <w:rFonts w:ascii="Times New Roman;Times;Serif" w:hAnsi="Times New Roman;Times;Serif"/>
          <w:b/>
          <w:i w:val="false"/>
          <w:caps w:val="false"/>
          <w:smallCaps w:val="false"/>
          <w:sz w:val="20"/>
        </w:rPr>
        <w:t>001-41184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3_edei--EntityRegistrantName_c2023"/>
      <w:bookmarkEnd w:id="8"/>
      <w:r>
        <w:rPr>
          <w:rFonts w:ascii="Times New Roman;Times;Serif" w:hAnsi="Times New Roman;Times;Serif"/>
          <w:b/>
          <w:i w:val="false"/>
          <w:caps w:val="false"/>
          <w:smallCaps w:val="false"/>
          <w:sz w:val="36"/>
        </w:rPr>
        <w:t>ZYVERSA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4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TaxIdentificationNum"/>
            <w:bookmarkEnd w:id="10"/>
            <w:r>
              <w:rPr>
                <w:rFonts w:ascii="Times New Roman;Times;Serif" w:hAnsi="Times New Roman;Times;Serif"/>
                <w:b/>
                <w:i w:val="false"/>
                <w:caps w:val="false"/>
                <w:smallCaps w:val="false"/>
                <w:sz w:val="20"/>
              </w:rPr>
              <w:t>86-2685744</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4160"/>
        <w:gridCol w:w="60"/>
        <w:gridCol w:w="920"/>
      </w:tblGrid>
      <w:tr>
        <w:trPr/>
        <w:tc>
          <w:tcPr>
            <w:tcW w:w="41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AddressLine1_"/>
            <w:bookmarkEnd w:id="11"/>
            <w:r>
              <w:rPr>
                <w:rFonts w:ascii="Times New Roman;Times;Serif" w:hAnsi="Times New Roman;Times;Serif"/>
                <w:b/>
                <w:i w:val="false"/>
                <w:caps w:val="false"/>
                <w:smallCaps w:val="false"/>
                <w:sz w:val="20"/>
              </w:rPr>
              <w:t xml:space="preserve">2200 N. Commerce Parkway, </w:t>
            </w:r>
            <w:bookmarkStart w:id="12" w:name="xdx_900_edei--EntityAddressAddressLine2_"/>
            <w:bookmarkEnd w:id="12"/>
            <w:r>
              <w:rPr>
                <w:rFonts w:ascii="Times New Roman;Times;Serif" w:hAnsi="Times New Roman;Times;Serif"/>
                <w:b/>
                <w:i w:val="false"/>
                <w:caps w:val="false"/>
                <w:smallCaps w:val="false"/>
                <w:sz w:val="20"/>
              </w:rPr>
              <w:t>Suite 208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F_edei--EntityAddressCityOrTown_c2"/>
            <w:bookmarkEnd w:id="13"/>
            <w:r>
              <w:rPr>
                <w:rFonts w:ascii="Times New Roman;Times;Serif" w:hAnsi="Times New Roman;Times;Serif"/>
                <w:b/>
                <w:i w:val="false"/>
                <w:caps w:val="false"/>
                <w:smallCaps w:val="false"/>
                <w:sz w:val="20"/>
              </w:rPr>
              <w:t xml:space="preserve">Weston, </w:t>
            </w:r>
            <w:bookmarkStart w:id="14" w:name="xdx_90F_edei--EntityAddressStateOrProvin"/>
            <w:bookmarkEnd w:id="14"/>
            <w:r>
              <w:rPr>
                <w:rFonts w:ascii="Times New Roman;Times;Serif" w:hAnsi="Times New Roman;Times;Serif"/>
                <w:b/>
                <w:i w:val="false"/>
                <w:caps w:val="false"/>
                <w:smallCaps w:val="false"/>
                <w:sz w:val="20"/>
              </w:rPr>
              <w:t xml:space="preserve">FL </w:t>
            </w:r>
            <w:bookmarkStart w:id="15" w:name="xdx_90C_edei--EntityAddressPostalZipCode"/>
            <w:bookmarkEnd w:id="15"/>
            <w:r>
              <w:rPr>
                <w:rFonts w:ascii="Times New Roman;Times;Serif" w:hAnsi="Times New Roman;Times;Serif"/>
                <w:b/>
                <w:i w:val="false"/>
                <w:caps w:val="false"/>
                <w:smallCaps w:val="false"/>
                <w:sz w:val="20"/>
              </w:rPr>
              <w:t>33326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6" w:name="xdx_90E_edei--EntityAddressPostalZipCode"/>
            <w:bookmarkEnd w:id="16"/>
            <w:r>
              <w:rPr>
                <w:rFonts w:ascii="Times New Roman;Times;Serif" w:hAnsi="Times New Roman;Times;Serif"/>
                <w:b/>
                <w:i w:val="false"/>
                <w:caps w:val="false"/>
                <w:smallCaps w:val="false"/>
                <w:sz w:val="20"/>
              </w:rPr>
              <w:t>33326</w:t>
            </w:r>
          </w:p>
        </w:tc>
      </w:tr>
      <w:tr>
        <w:trPr/>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xdx_90E_edei--CityAreaCode_c20230101__20"/>
      <w:bookmarkEnd w:id="17"/>
      <w:r>
        <w:rPr>
          <w:rFonts w:ascii="Times New Roman;Times;Serif" w:hAnsi="Times New Roman;Times;Serif"/>
          <w:b/>
          <w:i w:val="false"/>
          <w:caps w:val="false"/>
          <w:smallCaps w:val="false"/>
          <w:sz w:val="20"/>
        </w:rPr>
        <w:t xml:space="preserve">(754) </w:t>
      </w:r>
      <w:bookmarkStart w:id="18" w:name="xdx_904_edei--LocalPhoneNumber_c20230101"/>
      <w:bookmarkEnd w:id="18"/>
      <w:r>
        <w:rPr>
          <w:rFonts w:ascii="Times New Roman;Times;Serif" w:hAnsi="Times New Roman;Times;Serif"/>
          <w:b/>
          <w:i w:val="false"/>
          <w:caps w:val="false"/>
          <w:smallCaps w:val="false"/>
          <w:sz w:val="20"/>
        </w:rPr>
        <w:t>231-1688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415"/>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30101"/>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30101__2"/>
            <w:bookmarkEnd w:id="20"/>
            <w:r>
              <w:rPr>
                <w:rFonts w:ascii="Times New Roman;Times;Serif" w:hAnsi="Times New Roman;Times;Serif"/>
                <w:b w:val="false"/>
                <w:i w:val="false"/>
                <w:caps w:val="false"/>
                <w:smallCaps w:val="false"/>
                <w:sz w:val="20"/>
              </w:rPr>
              <w:t>ZVSA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2_edei--SecurityExchangeName_c2023"/>
            <w:bookmarkEnd w:id="21"/>
            <w:r>
              <w:rPr>
                <w:rFonts w:ascii="Times New Roman;Times;Serif" w:hAnsi="Times New Roman;Times;Serif"/>
                <w:b w:val="false"/>
                <w:i w:val="false"/>
                <w:caps w:val="false"/>
                <w:smallCaps w:val="false"/>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2" w:name="xdx_908_edei--EntityCurrentReportingStat"/>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3" w:name="xdx_909_edei--EntityInteractiveDataCurre"/>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 w:name="xdx_90E_edei--EntityFilerCategory_c20230"/>
            <w:bookmarkEnd w:id="24"/>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right"/>
              <w:rPr>
                <w:caps w:val="false"/>
                <w:smallCaps w:val="false"/>
              </w:rPr>
            </w:pPr>
            <w:bookmarkStart w:id="25" w:name="xdx_90C_edei--EntitySmallBusiness_c20230"/>
            <w:bookmarkEnd w:id="25"/>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right"/>
              <w:rPr>
                <w:caps w:val="false"/>
                <w:smallCaps w:val="false"/>
              </w:rPr>
            </w:pPr>
            <w:bookmarkStart w:id="26" w:name="xdx_906_edei--EntityEmergingGrowthCompan"/>
            <w:bookmarkEnd w:id="26"/>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D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shell company (as defined in Rule 12b-2 of the Act). Yes: ☐ </w:t>
      </w:r>
      <w:bookmarkStart w:id="28" w:name="xdx_90B_edei--EntityShellCompany_c202301"/>
      <w:bookmarkEnd w:id="28"/>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10, 2023, the number of shares outstanding of the registrant’s common stock, $0.0001 par value per share, was </w:t>
      </w:r>
      <w:bookmarkStart w:id="29" w:name="xdx_904_edei--EntityCommonStockSharesOut"/>
      <w:bookmarkEnd w:id="29"/>
      <w:r>
        <w:rPr>
          <w:rFonts w:ascii="Times New Roman;Times;Serif" w:hAnsi="Times New Roman;Times;Serif"/>
          <w:b w:val="false"/>
          <w:i w:val="false"/>
          <w:caps w:val="false"/>
          <w:smallCaps w:val="false"/>
          <w:sz w:val="20"/>
        </w:rPr>
        <w:t>20,225,263.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CONDENSED CONSOLIDATED FINANCIAL STATEMENTS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0"/>
        <w:gridCol w:w="60"/>
        <w:gridCol w:w="245"/>
      </w:tblGrid>
      <w:tr>
        <w:trPr/>
        <w:tc>
          <w:tcPr>
            <w:tcW w:w="9900"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i w:val="false"/>
                  <w:caps w:val="false"/>
                  <w:smallCaps w:val="false"/>
                  <w:sz w:val="20"/>
                  <w:u w:val="single"/>
                </w:rPr>
                <w:t>PART I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u w:val="single"/>
                </w:rPr>
                <w:t>Item 1.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u w:val="single"/>
                </w:rPr>
                <w:t>Condensed Consolidated Balance Sheets as of March 31, 2023 (unaudited) and December 31, 2022 (Successor)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u w:val="single"/>
                </w:rPr>
                <w:t>Unaudited Condensed Consolidated Statements of Operations and Comprehensive Loss for the Three Months Ended March 31, 2023 (Successor) and March 31, 2022 (Predecessor)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u w:val="single"/>
                </w:rPr>
                <w:t>Unaudited Condensed Consolidated Statements of Changes in Stockholders’ Equity for the Three Months Ended March 31, 2023 (Successor) and March 31, 2022 (Predecessor)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u w:val="single"/>
                </w:rPr>
                <w:t>Unaudited Condensed Consolidated Statements of Cash flows for the Three Months Ended March 31, 2023 (Successor) and March 31, 2022 (Predecessor)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u w:val="single"/>
                </w:rPr>
                <w:t>Notes to Unaudited Condensed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u w:val="single"/>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u w:val="single"/>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u w:val="single"/>
                </w:rPr>
                <w:t>ITEM 4. 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i w:val="false"/>
                  <w:caps w:val="false"/>
                  <w:smallCaps w:val="false"/>
                  <w:sz w:val="20"/>
                  <w:u w:val="single"/>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u w:val="single"/>
                </w:rPr>
                <w:t>ITEM 1. 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u w:val="single"/>
                </w:rPr>
                <w:t>ITEM 1A. 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u w:val="single"/>
                </w:rPr>
                <w:t>ITEM 2. Unregistered Sales of Equity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u w:val="single"/>
                </w:rPr>
                <w:t>ITEM 3. 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u w:val="single"/>
                </w:rPr>
                <w:t>ITEM 4. 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u w:val="single"/>
                </w:rPr>
                <w:t>ITEM 5.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u w:val="single"/>
                </w:rPr>
                <w:t>ITEM 6. 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0"/>
              <w:ind w:left="0" w:right="0" w:hanging="0"/>
              <w:jc w:val="both"/>
              <w:rPr/>
            </w:pPr>
            <w:hyperlink w:anchor="A_019">
              <w:r>
                <w:rPr>
                  <w:rStyle w:val="InternetLink"/>
                  <w:rFonts w:ascii="Times New Roman;Times;Serif" w:hAnsi="Times New Roman;Times;Serif"/>
                  <w:b/>
                  <w:i w:val="false"/>
                  <w:caps w:val="false"/>
                  <w:smallCaps w:val="false"/>
                  <w:sz w:val="20"/>
                  <w:u w:val="single"/>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A_001"/>
      <w:bookmarkEnd w:id="30"/>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02"/>
      <w:bookmarkEnd w:id="31"/>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A_003"/>
      <w:bookmarkEnd w:id="32"/>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2_111_zmCjojW1vEub"/>
      <w:bookmarkStart w:id="34" w:name="xdx_302_111_zmCjojW1vEub"/>
      <w:bookmarkEnd w:id="34"/>
    </w:p>
    <w:tbl>
      <w:tblPr>
        <w:tblW w:w="10205" w:type="dxa"/>
        <w:jc w:val="left"/>
        <w:tblInd w:w="0" w:type="dxa"/>
        <w:tblLayout w:type="fixed"/>
        <w:tblCellMar>
          <w:top w:w="0" w:type="dxa"/>
          <w:left w:w="0" w:type="dxa"/>
          <w:bottom w:w="0" w:type="dxa"/>
          <w:right w:w="0" w:type="dxa"/>
        </w:tblCellMar>
      </w:tblPr>
      <w:tblGrid>
        <w:gridCol w:w="7141"/>
        <w:gridCol w:w="60"/>
        <w:gridCol w:w="140"/>
        <w:gridCol w:w="1220"/>
        <w:gridCol w:w="95"/>
        <w:gridCol w:w="60"/>
        <w:gridCol w:w="141"/>
        <w:gridCol w:w="1236"/>
        <w:gridCol w:w="112"/>
      </w:tblGrid>
      <w:tr>
        <w:trPr/>
        <w:tc>
          <w:tcPr>
            <w:tcW w:w="71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 w:name="xdx_497_20230331_zCmM1ZV7gCw8"/>
            <w:bookmarkEnd w:id="35"/>
          </w:p>
        </w:tc>
        <w:tc>
          <w:tcPr>
            <w:tcW w:w="136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6_20221231_zSPEdcKQvlIc"/>
            <w:bookmarkEnd w:id="36"/>
          </w:p>
        </w:tc>
        <w:tc>
          <w:tcPr>
            <w:tcW w:w="1377"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141" w:type="dxa"/>
            <w:tcBorders/>
            <w:vAlign w:val="center"/>
          </w:tcPr>
          <w:p>
            <w:pPr>
              <w:pStyle w:val="TableContents"/>
              <w:bidi w:val="0"/>
              <w:spacing w:before="0" w:after="283"/>
              <w:jc w:val="center"/>
              <w:rPr/>
            </w:pPr>
            <w:r>
              <w:rPr/>
              <w:t>Financial Designation, Predecessor and Successor [Fixed List]</w:t>
            </w:r>
          </w:p>
        </w:tc>
        <w:tc>
          <w:tcPr>
            <w:tcW w:w="60" w:type="dxa"/>
            <w:tcBorders/>
            <w:vAlign w:val="center"/>
          </w:tcPr>
          <w:p>
            <w:pPr>
              <w:pStyle w:val="TableContents"/>
              <w:bidi w:val="0"/>
              <w:spacing w:before="0" w:after="283"/>
              <w:jc w:val="left"/>
              <w:rPr/>
            </w:pPr>
            <w:r>
              <w:rPr/>
              <w:t> </w:t>
            </w:r>
            <w:bookmarkStart w:id="37" w:name="xdx_98D_eus-gaap--FinancialDesignationPr"/>
            <w:bookmarkEnd w:id="37"/>
          </w:p>
        </w:tc>
        <w:tc>
          <w:tcPr>
            <w:tcW w:w="1360" w:type="dxa"/>
            <w:gridSpan w:val="2"/>
            <w:tcBorders/>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 w:name="xdx_985_eus-gaap--FinancialDesignationPr"/>
            <w:bookmarkEnd w:id="38"/>
          </w:p>
        </w:tc>
        <w:tc>
          <w:tcPr>
            <w:tcW w:w="1377" w:type="dxa"/>
            <w:gridSpan w:val="2"/>
            <w:tcBorders/>
            <w:vAlign w:val="center"/>
          </w:tcPr>
          <w:p>
            <w:pPr>
              <w:pStyle w:val="TableContents"/>
              <w:bidi w:val="0"/>
              <w:spacing w:before="0" w:after="283"/>
              <w:jc w:val="center"/>
              <w:rPr>
                <w:b/>
              </w:rPr>
            </w:pPr>
            <w:r>
              <w:rPr>
                <w:b/>
              </w:rPr>
              <w:t>Successor</w:t>
            </w:r>
          </w:p>
        </w:tc>
        <w:tc>
          <w:tcPr>
            <w:tcW w:w="112" w:type="dxa"/>
            <w:tcBorders/>
            <w:vAlign w:val="center"/>
          </w:tcPr>
          <w:p>
            <w:pPr>
              <w:pStyle w:val="TableContents"/>
              <w:bidi w:val="0"/>
              <w:spacing w:before="0" w:after="283"/>
              <w:jc w:val="left"/>
              <w:rPr/>
            </w:pPr>
            <w:r>
              <w:rPr/>
              <w:t> </w:t>
            </w:r>
          </w:p>
        </w:tc>
      </w:tr>
      <w:tr>
        <w:trPr/>
        <w:tc>
          <w:tcPr>
            <w:tcW w:w="71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112" w:type="dxa"/>
            <w:tcBorders/>
            <w:vAlign w:val="center"/>
          </w:tcPr>
          <w:p>
            <w:pPr>
              <w:pStyle w:val="TableContents"/>
              <w:bidi w:val="0"/>
              <w:spacing w:before="0" w:after="283"/>
              <w:jc w:val="left"/>
              <w:rPr/>
            </w:pPr>
            <w:r>
              <w:rPr/>
              <w:t> </w:t>
            </w:r>
          </w:p>
        </w:tc>
      </w:tr>
      <w:tr>
        <w:trPr/>
        <w:tc>
          <w:tcPr>
            <w:tcW w:w="71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1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2" w:type="dxa"/>
            <w:tcBorders/>
            <w:vAlign w:val="center"/>
          </w:tcPr>
          <w:p>
            <w:pPr>
              <w:pStyle w:val="TableContents"/>
              <w:bidi w:val="0"/>
              <w:spacing w:before="0" w:after="283"/>
              <w:jc w:val="left"/>
              <w:rPr/>
            </w:pPr>
            <w:r>
              <w:rPr/>
              <w:t> </w:t>
            </w:r>
          </w:p>
        </w:tc>
      </w:tr>
      <w:tr>
        <w:trPr/>
        <w:tc>
          <w:tcPr>
            <w:tcW w:w="71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39" w:name="xdx_40E_eus-gaap--AssetsAbstract_iB"/>
            <w:bookmarkEnd w:id="39"/>
          </w:p>
        </w:tc>
      </w:tr>
      <w:tr>
        <w:trPr/>
        <w:tc>
          <w:tcPr>
            <w:tcW w:w="714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0" w:name="xdx_402_eus-gaap--AssetsCurrentAbstract_"/>
            <w:bookmarkEnd w:id="40"/>
          </w:p>
        </w:tc>
      </w:tr>
      <w:tr>
        <w:trPr/>
        <w:tc>
          <w:tcPr>
            <w:tcW w:w="7141"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1" w:name="xdx_401_eus-gaap--Cash_i02I_pp0p0_maACzD"/>
            <w:bookmarkEnd w:id="41"/>
          </w:p>
        </w:tc>
      </w:tr>
      <w:tr>
        <w:trPr/>
        <w:tc>
          <w:tcPr>
            <w:tcW w:w="7141"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1,278,073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6" w:type="dxa"/>
            <w:tcBorders/>
            <w:shd w:fill="FFFFFF" w:val="clear"/>
            <w:vAlign w:val="center"/>
          </w:tcPr>
          <w:p>
            <w:pPr>
              <w:pStyle w:val="TableContents"/>
              <w:bidi w:val="0"/>
              <w:spacing w:before="0" w:after="283"/>
              <w:jc w:val="right"/>
              <w:rPr/>
            </w:pPr>
            <w:r>
              <w:rPr/>
              <w:t>5,902,199</w:t>
            </w:r>
          </w:p>
        </w:tc>
        <w:tc>
          <w:tcPr>
            <w:tcW w:w="112" w:type="dxa"/>
            <w:tcBorders/>
            <w:shd w:fill="FFFFFF" w:val="clear"/>
            <w:vAlign w:val="center"/>
          </w:tcPr>
          <w:p>
            <w:pPr>
              <w:pStyle w:val="TableContents"/>
              <w:bidi w:val="0"/>
              <w:spacing w:before="0" w:after="283"/>
              <w:jc w:val="left"/>
              <w:rPr/>
            </w:pPr>
            <w:r>
              <w:rPr/>
              <w:t> </w:t>
            </w:r>
            <w:bookmarkStart w:id="42" w:name="xdx_402_eus-gaap--PrepaidExpenseCurrent_"/>
            <w:bookmarkEnd w:id="42"/>
          </w:p>
        </w:tc>
      </w:tr>
      <w:tr>
        <w:trPr/>
        <w:tc>
          <w:tcPr>
            <w:tcW w:w="714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1,321,551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225,347</w:t>
            </w:r>
          </w:p>
        </w:tc>
        <w:tc>
          <w:tcPr>
            <w:tcW w:w="112" w:type="dxa"/>
            <w:tcBorders/>
            <w:shd w:fill="CCEEFF" w:val="clear"/>
            <w:vAlign w:val="center"/>
          </w:tcPr>
          <w:p>
            <w:pPr>
              <w:pStyle w:val="TableContents"/>
              <w:bidi w:val="0"/>
              <w:spacing w:before="0" w:after="283"/>
              <w:jc w:val="left"/>
              <w:rPr/>
            </w:pPr>
            <w:r>
              <w:rPr/>
              <w:t> </w:t>
            </w:r>
            <w:bookmarkStart w:id="43" w:name="xdx_402_ecustom--VendorDeposit_i02I_pp0p"/>
            <w:bookmarkEnd w:id="43"/>
          </w:p>
        </w:tc>
      </w:tr>
      <w:tr>
        <w:trPr/>
        <w:tc>
          <w:tcPr>
            <w:tcW w:w="7141" w:type="dxa"/>
            <w:tcBorders/>
            <w:shd w:fill="FFFFFF" w:val="clear"/>
            <w:vAlign w:val="center"/>
          </w:tcPr>
          <w:p>
            <w:pPr>
              <w:pStyle w:val="TableContents"/>
              <w:bidi w:val="0"/>
              <w:spacing w:before="0" w:after="283"/>
              <w:jc w:val="left"/>
              <w:rPr/>
            </w:pPr>
            <w:r>
              <w:rPr/>
              <w:t>Vendor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235,000</w:t>
            </w:r>
          </w:p>
        </w:tc>
        <w:tc>
          <w:tcPr>
            <w:tcW w:w="112" w:type="dxa"/>
            <w:tcBorders/>
            <w:shd w:fill="FFFFFF" w:val="clear"/>
            <w:vAlign w:val="center"/>
          </w:tcPr>
          <w:p>
            <w:pPr>
              <w:pStyle w:val="TableContents"/>
              <w:bidi w:val="0"/>
              <w:spacing w:before="0" w:after="283"/>
              <w:jc w:val="left"/>
              <w:rPr/>
            </w:pPr>
            <w:r>
              <w:rPr/>
              <w:t> </w:t>
            </w:r>
            <w:bookmarkStart w:id="44" w:name="xdx_409_eus-gaap--AssetsCurrent_i02TI_pp"/>
            <w:bookmarkEnd w:id="44"/>
          </w:p>
        </w:tc>
      </w:tr>
      <w:tr>
        <w:trPr/>
        <w:tc>
          <w:tcPr>
            <w:tcW w:w="714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2,834,624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6,362,546</w:t>
            </w:r>
          </w:p>
        </w:tc>
        <w:tc>
          <w:tcPr>
            <w:tcW w:w="112" w:type="dxa"/>
            <w:tcBorders/>
            <w:shd w:fill="CCEEFF" w:val="clear"/>
            <w:vAlign w:val="center"/>
          </w:tcPr>
          <w:p>
            <w:pPr>
              <w:pStyle w:val="TableContents"/>
              <w:bidi w:val="0"/>
              <w:spacing w:before="0" w:after="283"/>
              <w:jc w:val="left"/>
              <w:rPr/>
            </w:pPr>
            <w:r>
              <w:rPr/>
              <w:t> </w:t>
            </w:r>
            <w:bookmarkStart w:id="45" w:name="xdx_408_eus-gaap--PropertyPlantAndEquipm"/>
            <w:bookmarkEnd w:id="45"/>
          </w:p>
        </w:tc>
      </w:tr>
      <w:tr>
        <w:trPr/>
        <w:tc>
          <w:tcPr>
            <w:tcW w:w="7141" w:type="dxa"/>
            <w:tcBorders/>
            <w:shd w:fill="FFFFFF" w:val="clear"/>
            <w:vAlign w:val="center"/>
          </w:tcPr>
          <w:p>
            <w:pPr>
              <w:pStyle w:val="TableContents"/>
              <w:bidi w:val="0"/>
              <w:spacing w:before="0" w:after="283"/>
              <w:jc w:val="left"/>
              <w:rPr/>
            </w:pPr>
            <w:r>
              <w:rPr/>
              <w:t>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17,333</w:t>
            </w:r>
          </w:p>
        </w:tc>
        <w:tc>
          <w:tcPr>
            <w:tcW w:w="112" w:type="dxa"/>
            <w:tcBorders/>
            <w:shd w:fill="FFFFFF" w:val="clear"/>
            <w:vAlign w:val="center"/>
          </w:tcPr>
          <w:p>
            <w:pPr>
              <w:pStyle w:val="TableContents"/>
              <w:bidi w:val="0"/>
              <w:spacing w:before="0" w:after="283"/>
              <w:jc w:val="left"/>
              <w:rPr/>
            </w:pPr>
            <w:r>
              <w:rPr/>
              <w:t> </w:t>
            </w:r>
            <w:bookmarkStart w:id="46" w:name="xdx_408_eus-gaap--OtherAssetsNoncurrent_"/>
            <w:bookmarkEnd w:id="46"/>
          </w:p>
        </w:tc>
      </w:tr>
      <w:tr>
        <w:trPr/>
        <w:tc>
          <w:tcPr>
            <w:tcW w:w="7141" w:type="dxa"/>
            <w:tcBorders/>
            <w:shd w:fill="CCEEFF" w:val="clear"/>
            <w:vAlign w:val="center"/>
          </w:tcPr>
          <w:p>
            <w:pPr>
              <w:pStyle w:val="TableContents"/>
              <w:bidi w:val="0"/>
              <w:spacing w:before="0" w:after="283"/>
              <w:jc w:val="left"/>
              <w:rPr/>
            </w:pPr>
            <w:r>
              <w:rPr/>
              <w:t>In-process 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100,086,329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100,086,329</w:t>
            </w:r>
          </w:p>
        </w:tc>
        <w:tc>
          <w:tcPr>
            <w:tcW w:w="112" w:type="dxa"/>
            <w:tcBorders/>
            <w:shd w:fill="CCEEFF" w:val="clear"/>
            <w:vAlign w:val="center"/>
          </w:tcPr>
          <w:p>
            <w:pPr>
              <w:pStyle w:val="TableContents"/>
              <w:bidi w:val="0"/>
              <w:spacing w:before="0" w:after="283"/>
              <w:jc w:val="left"/>
              <w:rPr/>
            </w:pPr>
            <w:r>
              <w:rPr/>
              <w:t> </w:t>
            </w:r>
            <w:bookmarkStart w:id="47" w:name="xdx_401_eus-gaap--Goodwill_i01I_pp0p0_ma"/>
            <w:bookmarkEnd w:id="47"/>
          </w:p>
        </w:tc>
      </w:tr>
      <w:tr>
        <w:trPr/>
        <w:tc>
          <w:tcPr>
            <w:tcW w:w="7141"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11,895,033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11,895,033</w:t>
            </w:r>
          </w:p>
        </w:tc>
        <w:tc>
          <w:tcPr>
            <w:tcW w:w="112" w:type="dxa"/>
            <w:tcBorders/>
            <w:shd w:fill="FFFFFF" w:val="clear"/>
            <w:vAlign w:val="center"/>
          </w:tcPr>
          <w:p>
            <w:pPr>
              <w:pStyle w:val="TableContents"/>
              <w:bidi w:val="0"/>
              <w:spacing w:before="0" w:after="283"/>
              <w:jc w:val="left"/>
              <w:rPr/>
            </w:pPr>
            <w:r>
              <w:rPr/>
              <w:t> </w:t>
            </w:r>
            <w:bookmarkStart w:id="48" w:name="xdx_402_eus-gaap--SecurityDeposit_i01I_p"/>
            <w:bookmarkEnd w:id="48"/>
          </w:p>
        </w:tc>
      </w:tr>
      <w:tr>
        <w:trPr/>
        <w:tc>
          <w:tcPr>
            <w:tcW w:w="7141" w:type="dxa"/>
            <w:tcBorders/>
            <w:shd w:fill="CCEEFF" w:val="clear"/>
            <w:vAlign w:val="center"/>
          </w:tcPr>
          <w:p>
            <w:pPr>
              <w:pStyle w:val="TableContents"/>
              <w:bidi w:val="0"/>
              <w:spacing w:before="0" w:after="283"/>
              <w:jc w:val="left"/>
              <w:rPr/>
            </w:pPr>
            <w:r>
              <w:rPr/>
              <w:t>Security deposit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46,659</w:t>
            </w:r>
          </w:p>
        </w:tc>
        <w:tc>
          <w:tcPr>
            <w:tcW w:w="112" w:type="dxa"/>
            <w:tcBorders/>
            <w:shd w:fill="CCEEFF" w:val="clear"/>
            <w:vAlign w:val="center"/>
          </w:tcPr>
          <w:p>
            <w:pPr>
              <w:pStyle w:val="TableContents"/>
              <w:bidi w:val="0"/>
              <w:spacing w:before="0" w:after="283"/>
              <w:jc w:val="left"/>
              <w:rPr/>
            </w:pPr>
            <w:r>
              <w:rPr/>
              <w:t> </w:t>
            </w:r>
            <w:bookmarkStart w:id="49" w:name="xdx_400_eus-gaap--OperatingLeaseRightOfU"/>
            <w:bookmarkEnd w:id="49"/>
          </w:p>
        </w:tc>
      </w:tr>
      <w:tr>
        <w:trPr/>
        <w:tc>
          <w:tcPr>
            <w:tcW w:w="7141" w:type="dxa"/>
            <w:tcBorders/>
            <w:shd w:fill="FFFFFF" w:val="clear"/>
            <w:vAlign w:val="center"/>
          </w:tcPr>
          <w:p>
            <w:pPr>
              <w:pStyle w:val="TableContents"/>
              <w:bidi w:val="0"/>
              <w:spacing w:before="0" w:after="283"/>
              <w:jc w:val="left"/>
              <w:rPr/>
            </w:pPr>
            <w:r>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76,324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98,371</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0" w:name="xdx_40B_eus-gaap--Assets_i01TI_pp0p0_mtA"/>
            <w:bookmarkEnd w:id="50"/>
          </w:p>
        </w:tc>
      </w:tr>
      <w:tr>
        <w:trPr/>
        <w:tc>
          <w:tcPr>
            <w:tcW w:w="714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114,953,702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FFFFFF" w:val="clear"/>
            <w:tcMar>
              <w:bottom w:w="28" w:type="dxa"/>
            </w:tcMar>
            <w:vAlign w:val="center"/>
          </w:tcPr>
          <w:p>
            <w:pPr>
              <w:pStyle w:val="TableContents"/>
              <w:bidi w:val="0"/>
              <w:spacing w:before="0" w:after="283"/>
              <w:jc w:val="right"/>
              <w:rPr/>
            </w:pPr>
            <w:r>
              <w:rPr/>
              <w:t>118,506,271</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1" w:name="xdx_40C_eus-gaap--LiabilitiesAndStockhol"/>
            <w:bookmarkEnd w:id="51"/>
          </w:p>
        </w:tc>
      </w:tr>
      <w:tr>
        <w:trPr/>
        <w:tc>
          <w:tcPr>
            <w:tcW w:w="7141" w:type="dxa"/>
            <w:tcBorders/>
            <w:shd w:fill="FFFFFF" w:val="clear"/>
            <w:vAlign w:val="center"/>
          </w:tcPr>
          <w:p>
            <w:pPr>
              <w:pStyle w:val="TableContents"/>
              <w:bidi w:val="0"/>
              <w:spacing w:before="0" w:after="283"/>
              <w:jc w:val="left"/>
              <w:rPr>
                <w:b/>
              </w:rPr>
            </w:pPr>
            <w:r>
              <w:rPr>
                <w:b/>
              </w:rPr>
              <w:t>Liabilities, Temporary Equity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2" w:name="xdx_409_eus-gaap--LiabilitiesCurrentAbst"/>
            <w:bookmarkEnd w:id="52"/>
          </w:p>
        </w:tc>
      </w:tr>
      <w:tr>
        <w:trPr/>
        <w:tc>
          <w:tcPr>
            <w:tcW w:w="714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3" w:name="xdx_401_eus-gaap--AccountsPayableCurrent"/>
            <w:bookmarkEnd w:id="53"/>
          </w:p>
        </w:tc>
      </w:tr>
      <w:tr>
        <w:trPr/>
        <w:tc>
          <w:tcPr>
            <w:tcW w:w="714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6,381,086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6,025,645</w:t>
            </w:r>
          </w:p>
        </w:tc>
        <w:tc>
          <w:tcPr>
            <w:tcW w:w="112" w:type="dxa"/>
            <w:tcBorders/>
            <w:shd w:fill="CCEEFF" w:val="clear"/>
            <w:vAlign w:val="center"/>
          </w:tcPr>
          <w:p>
            <w:pPr>
              <w:pStyle w:val="TableContents"/>
              <w:bidi w:val="0"/>
              <w:spacing w:before="0" w:after="283"/>
              <w:jc w:val="left"/>
              <w:rPr/>
            </w:pPr>
            <w:r>
              <w:rPr/>
              <w:t> </w:t>
            </w:r>
            <w:bookmarkStart w:id="54" w:name="xdx_400_eus-gaap--AccruedLiabilitiesCurr"/>
            <w:bookmarkEnd w:id="54"/>
          </w:p>
        </w:tc>
      </w:tr>
      <w:tr>
        <w:trPr/>
        <w:tc>
          <w:tcPr>
            <w:tcW w:w="7141"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2,112,812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2,053,559</w:t>
            </w:r>
          </w:p>
        </w:tc>
        <w:tc>
          <w:tcPr>
            <w:tcW w:w="112" w:type="dxa"/>
            <w:tcBorders/>
            <w:shd w:fill="FFFFFF" w:val="clear"/>
            <w:vAlign w:val="center"/>
          </w:tcPr>
          <w:p>
            <w:pPr>
              <w:pStyle w:val="TableContents"/>
              <w:bidi w:val="0"/>
              <w:spacing w:before="0" w:after="283"/>
              <w:jc w:val="left"/>
              <w:rPr/>
            </w:pPr>
            <w:r>
              <w:rPr/>
              <w:t> </w:t>
            </w:r>
            <w:bookmarkStart w:id="55" w:name="xdx_40F_eus-gaap--OperatingLeaseLiabilit"/>
            <w:bookmarkEnd w:id="55"/>
          </w:p>
        </w:tc>
      </w:tr>
      <w:tr>
        <w:trPr/>
        <w:tc>
          <w:tcPr>
            <w:tcW w:w="7141"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84,507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108,756</w:t>
            </w:r>
          </w:p>
        </w:tc>
        <w:tc>
          <w:tcPr>
            <w:tcW w:w="112" w:type="dxa"/>
            <w:tcBorders/>
            <w:shd w:fill="CCEEFF" w:val="clear"/>
            <w:vAlign w:val="center"/>
          </w:tcPr>
          <w:p>
            <w:pPr>
              <w:pStyle w:val="TableContents"/>
              <w:bidi w:val="0"/>
              <w:spacing w:before="0" w:after="283"/>
              <w:jc w:val="left"/>
              <w:rPr/>
            </w:pPr>
            <w:r>
              <w:rPr/>
              <w:t> </w:t>
            </w:r>
            <w:bookmarkStart w:id="56" w:name="xdx_40E_eus-gaap--LiabilitiesCurrent_i02"/>
            <w:bookmarkEnd w:id="56"/>
          </w:p>
        </w:tc>
      </w:tr>
      <w:tr>
        <w:trPr/>
        <w:tc>
          <w:tcPr>
            <w:tcW w:w="714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8,578,405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8,187,960</w:t>
            </w:r>
          </w:p>
        </w:tc>
        <w:tc>
          <w:tcPr>
            <w:tcW w:w="112" w:type="dxa"/>
            <w:tcBorders/>
            <w:shd w:fill="FFFFFF" w:val="clear"/>
            <w:vAlign w:val="center"/>
          </w:tcPr>
          <w:p>
            <w:pPr>
              <w:pStyle w:val="TableContents"/>
              <w:bidi w:val="0"/>
              <w:spacing w:before="0" w:after="283"/>
              <w:jc w:val="left"/>
              <w:rPr/>
            </w:pPr>
            <w:r>
              <w:rPr/>
              <w:t> </w:t>
            </w:r>
            <w:bookmarkStart w:id="57" w:name="xdx_404_eus-gaap--DeferredIncomeTaxLiabi"/>
            <w:bookmarkEnd w:id="57"/>
          </w:p>
        </w:tc>
      </w:tr>
      <w:tr>
        <w:trPr/>
        <w:tc>
          <w:tcPr>
            <w:tcW w:w="7141"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9,276,932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10,323,983</w:t>
            </w:r>
          </w:p>
        </w:tc>
        <w:tc>
          <w:tcPr>
            <w:tcW w:w="112" w:type="dxa"/>
            <w:tcBorders/>
            <w:shd w:fill="CCEEFF" w:val="clear"/>
            <w:vAlign w:val="center"/>
          </w:tcPr>
          <w:p>
            <w:pPr>
              <w:pStyle w:val="TableContents"/>
              <w:bidi w:val="0"/>
              <w:spacing w:before="0" w:after="283"/>
              <w:jc w:val="left"/>
              <w:rPr/>
            </w:pPr>
            <w:r>
              <w:rPr/>
              <w:t> </w:t>
            </w:r>
            <w:bookmarkStart w:id="58" w:name="xdx_40F_eus-gaap--Liabilities_i01TI_pp0p"/>
            <w:bookmarkEnd w:id="58"/>
          </w:p>
        </w:tc>
      </w:tr>
      <w:tr>
        <w:trPr/>
        <w:tc>
          <w:tcPr>
            <w:tcW w:w="714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17,855,337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18,511,943</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9" w:name="xdx_409_eus-gaap--CommitmentsAndContinge"/>
            <w:bookmarkEnd w:id="59"/>
          </w:p>
        </w:tc>
      </w:tr>
      <w:tr>
        <w:trPr/>
        <w:tc>
          <w:tcPr>
            <w:tcW w:w="7141" w:type="dxa"/>
            <w:tcBorders/>
            <w:shd w:fill="FFFFFF" w:val="clear"/>
            <w:vAlign w:val="center"/>
          </w:tcPr>
          <w:p>
            <w:pPr>
              <w:pStyle w:val="TableContents"/>
              <w:bidi w:val="0"/>
              <w:spacing w:before="0" w:after="283"/>
              <w:jc w:val="left"/>
              <w:rPr/>
            </w:pPr>
            <w:r>
              <w:rPr/>
              <w:t>Commitments and contingencies (Note 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1" w:type="dxa"/>
            <w:tcBorders/>
            <w:shd w:fill="FFFFFF" w:val="clear"/>
            <w:vAlign w:val="center"/>
          </w:tcPr>
          <w:p>
            <w:pPr>
              <w:pStyle w:val="TableContents"/>
              <w:bidi w:val="0"/>
              <w:spacing w:before="0" w:after="283"/>
              <w:jc w:val="left"/>
              <w:rPr/>
            </w:pPr>
            <w:bookmarkStart w:id="60" w:name="xdx_90A_eus-gaap--FinancialDesignationPr"/>
            <w:bookmarkStart w:id="61" w:name="xdx_904_eus-gaap--FinancialDesignationPr"/>
            <w:bookmarkEnd w:id="60"/>
            <w:bookmarkEnd w:id="61"/>
            <w:r>
              <w:rPr/>
              <w:t xml:space="preserve">Successor redeemable common stock, subject to possible redemption, </w:t>
            </w:r>
            <w:bookmarkStart w:id="62" w:name="xdx_907_eus-gaap--TemporaryEquitySharesO"/>
            <w:bookmarkEnd w:id="62"/>
            <w:r>
              <w:rPr/>
              <w:t xml:space="preserve">0 and </w:t>
            </w:r>
            <w:bookmarkStart w:id="63" w:name="xdx_909_eus-gaap--TemporaryEquitySharesO"/>
            <w:bookmarkEnd w:id="63"/>
            <w:r>
              <w:rPr/>
              <w:t>65,783 shares outstanding as of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 w:name="xdx_983_eus-gaap--TemporaryEquityCarryin"/>
            <w:bookmarkEnd w:id="64"/>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65" w:name="xdx_98E_eus-gaap--TemporaryEquityCarryin"/>
            <w:bookmarkEnd w:id="65"/>
          </w:p>
        </w:tc>
        <w:tc>
          <w:tcPr>
            <w:tcW w:w="1236" w:type="dxa"/>
            <w:tcBorders/>
            <w:shd w:fill="FFFFFF" w:val="clear"/>
            <w:vAlign w:val="center"/>
          </w:tcPr>
          <w:p>
            <w:pPr>
              <w:pStyle w:val="TableContents"/>
              <w:bidi w:val="0"/>
              <w:spacing w:before="0" w:after="283"/>
              <w:jc w:val="right"/>
              <w:rPr/>
            </w:pPr>
            <w:r>
              <w:rPr/>
              <w:t>331,331</w:t>
            </w:r>
          </w:p>
        </w:tc>
        <w:tc>
          <w:tcPr>
            <w:tcW w:w="112" w:type="dxa"/>
            <w:tcBorders/>
            <w:shd w:fill="FFFFFF" w:val="clear"/>
            <w:vAlign w:val="center"/>
          </w:tcPr>
          <w:p>
            <w:pPr>
              <w:pStyle w:val="TableContents"/>
              <w:bidi w:val="0"/>
              <w:spacing w:before="0" w:after="283"/>
              <w:jc w:val="left"/>
              <w:rPr/>
            </w:pPr>
            <w:r>
              <w:rPr/>
              <w:t> </w:t>
            </w:r>
            <w:bookmarkStart w:id="66" w:name="xdx_402_eus-gaap--StockholdersEquityAbst"/>
            <w:bookmarkEnd w:id="66"/>
          </w:p>
        </w:tc>
      </w:tr>
      <w:tr>
        <w:trPr/>
        <w:tc>
          <w:tcPr>
            <w:tcW w:w="7141"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bidi w:val="0"/>
              <w:spacing w:before="0" w:after="283"/>
              <w:jc w:val="left"/>
              <w:rPr/>
            </w:pPr>
            <w:bookmarkStart w:id="67" w:name="xdx_905_eus-gaap--FinancialDesignationPr"/>
            <w:bookmarkStart w:id="68" w:name="xdx_907_eus-gaap--FinancialDesignationPr"/>
            <w:bookmarkEnd w:id="67"/>
            <w:bookmarkEnd w:id="68"/>
            <w:r>
              <w:rPr/>
              <w:t>Successor preferred stock, $</w:t>
            </w:r>
            <w:bookmarkStart w:id="69" w:name="xdx_90A_eus-gaap--PreferredStockParOrSta"/>
            <w:bookmarkStart w:id="70" w:name="xdx_906_eus-gaap--PreferredStockParOrSta"/>
            <w:bookmarkEnd w:id="69"/>
            <w:bookmarkEnd w:id="70"/>
            <w:r>
              <w:rPr/>
              <w:t xml:space="preserve">0.0001 par value, </w:t>
            </w:r>
            <w:bookmarkStart w:id="71" w:name="xdx_90A_eus-gaap--PreferredStockSharesAu"/>
            <w:bookmarkStart w:id="72" w:name="xdx_901_eus-gaap--PreferredStockSharesAu"/>
            <w:bookmarkEnd w:id="71"/>
            <w:bookmarkEnd w:id="72"/>
            <w:r>
              <w:rPr/>
              <w:t>1,000,000 shares authorized: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1" w:type="dxa"/>
            <w:tcBorders/>
            <w:shd w:fill="FFFFFF" w:val="clear"/>
            <w:vAlign w:val="center"/>
          </w:tcPr>
          <w:p>
            <w:pPr>
              <w:pStyle w:val="TableContents"/>
              <w:bidi w:val="0"/>
              <w:spacing w:before="0" w:after="283"/>
              <w:jc w:val="left"/>
              <w:rPr/>
            </w:pPr>
            <w:r>
              <w:rPr/>
              <w:t xml:space="preserve">Series A preferred stock, </w:t>
            </w:r>
            <w:bookmarkStart w:id="73" w:name="xdx_902_eus-gaap--PreferredStockSharesAu"/>
            <w:bookmarkStart w:id="74" w:name="xdx_90D_eus-gaap--PreferredStockSharesAu"/>
            <w:bookmarkEnd w:id="73"/>
            <w:bookmarkEnd w:id="74"/>
            <w:r>
              <w:rPr/>
              <w:t xml:space="preserve">8,635 shares designated, </w:t>
            </w:r>
            <w:bookmarkStart w:id="75" w:name="xdx_900_eus-gaap--PreferredStockSharesOu"/>
            <w:bookmarkStart w:id="76" w:name="xdx_90E_eus-gaap--PreferredStockSharesOu"/>
            <w:bookmarkStart w:id="77" w:name="xdx_903_eus-gaap--PreferredStockSharesIs"/>
            <w:bookmarkStart w:id="78" w:name="xdx_90B_eus-gaap--PreferredStockSharesIs"/>
            <w:bookmarkEnd w:id="75"/>
            <w:bookmarkEnd w:id="76"/>
            <w:bookmarkEnd w:id="77"/>
            <w:bookmarkEnd w:id="78"/>
            <w:r>
              <w:rPr/>
              <w:t>8,635 shares issued and outstanding as of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9" w:name="xdx_980_eus-gaap--PreferredStockValue_i0"/>
            <w:bookmarkEnd w:id="79"/>
          </w:p>
        </w:tc>
        <w:tc>
          <w:tcPr>
            <w:tcW w:w="122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80" w:name="xdx_98F_eus-gaap--PreferredStockValue_i0"/>
            <w:bookmarkEnd w:id="80"/>
          </w:p>
        </w:tc>
        <w:tc>
          <w:tcPr>
            <w:tcW w:w="1236" w:type="dxa"/>
            <w:tcBorders/>
            <w:shd w:fill="FFFFFF" w:val="clear"/>
            <w:vAlign w:val="center"/>
          </w:tcPr>
          <w:p>
            <w:pPr>
              <w:pStyle w:val="TableContents"/>
              <w:bidi w:val="0"/>
              <w:spacing w:before="0" w:after="283"/>
              <w:jc w:val="right"/>
              <w:rPr/>
            </w:pPr>
            <w:r>
              <w:rPr/>
              <w:t>1</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bidi w:val="0"/>
              <w:spacing w:before="0" w:after="283"/>
              <w:jc w:val="left"/>
              <w:rPr/>
            </w:pPr>
            <w:r>
              <w:rPr/>
              <w:t xml:space="preserve">Series B preferred stock, </w:t>
            </w:r>
            <w:bookmarkStart w:id="81" w:name="xdx_90B_eus-gaap--PreferredStockSharesAu"/>
            <w:bookmarkStart w:id="82" w:name="xdx_90A_eus-gaap--PreferredStockSharesAu"/>
            <w:bookmarkEnd w:id="81"/>
            <w:bookmarkEnd w:id="82"/>
            <w:r>
              <w:rPr/>
              <w:t xml:space="preserve">5,062 shares designated, </w:t>
            </w:r>
            <w:bookmarkStart w:id="83" w:name="xdx_906_eus-gaap--PreferredStockSharesOu"/>
            <w:bookmarkStart w:id="84" w:name="xdx_90A_eus-gaap--PreferredStockSharesOu"/>
            <w:bookmarkStart w:id="85" w:name="xdx_904_eus-gaap--PreferredStockSharesIs"/>
            <w:bookmarkStart w:id="86" w:name="xdx_905_eus-gaap--PreferredStockSharesIs"/>
            <w:bookmarkEnd w:id="83"/>
            <w:bookmarkEnd w:id="84"/>
            <w:bookmarkEnd w:id="85"/>
            <w:bookmarkEnd w:id="86"/>
            <w:r>
              <w:rPr/>
              <w:t>5,062 shares issued and outstanding as of March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7" w:name="xdx_982_eus-gaap--PreferredStockValue_i0"/>
            <w:bookmarkEnd w:id="87"/>
          </w:p>
        </w:tc>
        <w:tc>
          <w:tcPr>
            <w:tcW w:w="122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88" w:name="xdx_986_eus-gaap--PreferredStockValue_i0"/>
            <w:bookmarkEnd w:id="88"/>
          </w:p>
        </w:tc>
        <w:tc>
          <w:tcPr>
            <w:tcW w:w="1236" w:type="dxa"/>
            <w:tcBorders/>
            <w:shd w:fill="CCEEFF" w:val="clear"/>
            <w:vAlign w:val="center"/>
          </w:tcPr>
          <w:p>
            <w:pPr>
              <w:pStyle w:val="TableContents"/>
              <w:bidi w:val="0"/>
              <w:spacing w:before="0" w:after="283"/>
              <w:jc w:val="right"/>
              <w:rPr/>
            </w:pPr>
            <w:r>
              <w:rPr/>
              <w:t>1</w:t>
            </w:r>
          </w:p>
        </w:tc>
        <w:tc>
          <w:tcPr>
            <w:tcW w:w="112" w:type="dxa"/>
            <w:tcBorders/>
            <w:shd w:fill="CCEEFF" w:val="clear"/>
            <w:vAlign w:val="center"/>
          </w:tcPr>
          <w:p>
            <w:pPr>
              <w:pStyle w:val="TableContents"/>
              <w:bidi w:val="0"/>
              <w:spacing w:before="0" w:after="283"/>
              <w:jc w:val="left"/>
              <w:rPr/>
            </w:pPr>
            <w:r>
              <w:rPr/>
              <w:t> </w:t>
            </w:r>
            <w:bookmarkStart w:id="89" w:name="xdx_408_eus-gaap--PreferredStockValue_i0"/>
            <w:bookmarkEnd w:id="89"/>
          </w:p>
        </w:tc>
      </w:tr>
      <w:tr>
        <w:trPr/>
        <w:tc>
          <w:tcPr>
            <w:tcW w:w="7141" w:type="dxa"/>
            <w:tcBorders/>
            <w:shd w:fill="FFFFFF" w:val="clear"/>
            <w:vAlign w:val="center"/>
          </w:tcPr>
          <w:p>
            <w:pPr>
              <w:pStyle w:val="TableContents"/>
              <w:bidi w:val="0"/>
              <w:spacing w:before="0" w:after="283"/>
              <w:jc w:val="left"/>
              <w:rPr/>
            </w:pPr>
            <w:r>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FFFFFF" w:val="clear"/>
            <w:vAlign w:val="center"/>
          </w:tcPr>
          <w:p>
            <w:pPr>
              <w:pStyle w:val="TableContents"/>
              <w:bidi w:val="0"/>
              <w:spacing w:before="0" w:after="283"/>
              <w:jc w:val="left"/>
              <w:rPr/>
            </w:pPr>
            <w:bookmarkStart w:id="90" w:name="xdx_906_eus-gaap--FinancialDesignationPr"/>
            <w:bookmarkStart w:id="91" w:name="xdx_904_eus-gaap--FinancialDesignationPr"/>
            <w:bookmarkEnd w:id="90"/>
            <w:bookmarkEnd w:id="91"/>
            <w:r>
              <w:rPr/>
              <w:t>Successor common stock, $</w:t>
            </w:r>
            <w:bookmarkStart w:id="92" w:name="xdx_905_eus-gaap--CommonStockParOrStated"/>
            <w:bookmarkStart w:id="93" w:name="xdx_90E_eus-gaap--CommonStockParOrStated"/>
            <w:bookmarkEnd w:id="92"/>
            <w:bookmarkEnd w:id="93"/>
            <w:r>
              <w:rPr/>
              <w:t xml:space="preserve">0.0001 par value, </w:t>
            </w:r>
            <w:bookmarkStart w:id="94" w:name="xdx_909_eus-gaap--CommonStockSharesAutho"/>
            <w:bookmarkStart w:id="95" w:name="xdx_90A_eus-gaap--CommonStockSharesAutho"/>
            <w:bookmarkEnd w:id="94"/>
            <w:bookmarkEnd w:id="95"/>
            <w:r>
              <w:rPr/>
              <w:t xml:space="preserve">110,000,000 shares authorized; </w:t>
            </w:r>
            <w:bookmarkStart w:id="96" w:name="xdx_90A_eus-gaap--CommonStockSharesOutst"/>
            <w:bookmarkStart w:id="97" w:name="xdx_906_eus-gaap--CommonStockSharesIssue"/>
            <w:bookmarkEnd w:id="96"/>
            <w:bookmarkEnd w:id="97"/>
            <w:r>
              <w:rPr/>
              <w:t xml:space="preserve">9,211,922 and </w:t>
            </w:r>
            <w:bookmarkStart w:id="98" w:name="xdx_901_eus-gaap--CommonStockSharesOutst"/>
            <w:bookmarkStart w:id="99" w:name="xdx_906_eus-gaap--CommonStockSharesIssue"/>
            <w:bookmarkEnd w:id="98"/>
            <w:bookmarkEnd w:id="99"/>
            <w:r>
              <w:rPr/>
              <w:t>9,016,139 shares issued and outstanding as of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0" w:name="xdx_989_eus-gaap--CommonStockValue_i02I_"/>
            <w:bookmarkEnd w:id="100"/>
          </w:p>
        </w:tc>
        <w:tc>
          <w:tcPr>
            <w:tcW w:w="1220" w:type="dxa"/>
            <w:tcBorders/>
            <w:shd w:fill="FFFFFF" w:val="clear"/>
            <w:vAlign w:val="center"/>
          </w:tcPr>
          <w:p>
            <w:pPr>
              <w:pStyle w:val="TableContents"/>
              <w:bidi w:val="0"/>
              <w:spacing w:before="0" w:after="283"/>
              <w:jc w:val="right"/>
              <w:rPr/>
            </w:pPr>
            <w:r>
              <w:rPr/>
              <w:t>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01" w:name="xdx_982_eus-gaap--CommonStockValue_i02I_"/>
            <w:bookmarkEnd w:id="101"/>
          </w:p>
        </w:tc>
        <w:tc>
          <w:tcPr>
            <w:tcW w:w="1236" w:type="dxa"/>
            <w:tcBorders/>
            <w:shd w:fill="FFFFFF" w:val="clear"/>
            <w:vAlign w:val="center"/>
          </w:tcPr>
          <w:p>
            <w:pPr>
              <w:pStyle w:val="TableContents"/>
              <w:bidi w:val="0"/>
              <w:spacing w:before="0" w:after="283"/>
              <w:jc w:val="right"/>
              <w:rPr/>
            </w:pPr>
            <w:r>
              <w:rPr/>
              <w:t>902</w:t>
            </w:r>
          </w:p>
        </w:tc>
        <w:tc>
          <w:tcPr>
            <w:tcW w:w="112" w:type="dxa"/>
            <w:tcBorders/>
            <w:shd w:fill="FFFFFF" w:val="clear"/>
            <w:vAlign w:val="center"/>
          </w:tcPr>
          <w:p>
            <w:pPr>
              <w:pStyle w:val="TableContents"/>
              <w:bidi w:val="0"/>
              <w:spacing w:before="0" w:after="283"/>
              <w:jc w:val="left"/>
              <w:rPr/>
            </w:pPr>
            <w:r>
              <w:rPr/>
              <w:t> </w:t>
            </w:r>
            <w:bookmarkStart w:id="102" w:name="xdx_409_eus-gaap--AdditionalPaidInCapita"/>
            <w:bookmarkEnd w:id="102"/>
          </w:p>
        </w:tc>
      </w:tr>
      <w:tr>
        <w:trPr/>
        <w:tc>
          <w:tcPr>
            <w:tcW w:w="7141"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105,562,569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104,583,271</w:t>
            </w:r>
          </w:p>
        </w:tc>
        <w:tc>
          <w:tcPr>
            <w:tcW w:w="112" w:type="dxa"/>
            <w:tcBorders/>
            <w:shd w:fill="CCEEFF" w:val="clear"/>
            <w:vAlign w:val="center"/>
          </w:tcPr>
          <w:p>
            <w:pPr>
              <w:pStyle w:val="TableContents"/>
              <w:bidi w:val="0"/>
              <w:spacing w:before="0" w:after="283"/>
              <w:jc w:val="left"/>
              <w:rPr/>
            </w:pPr>
            <w:r>
              <w:rPr/>
              <w:t> </w:t>
            </w:r>
            <w:bookmarkStart w:id="103" w:name="xdx_40A_eus-gaap--RetainedEarningsAccumu"/>
            <w:bookmarkEnd w:id="103"/>
          </w:p>
        </w:tc>
      </w:tr>
      <w:tr>
        <w:trPr/>
        <w:tc>
          <w:tcPr>
            <w:tcW w:w="714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(8,465,128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(4,921,178</w:t>
            </w:r>
          </w:p>
        </w:tc>
        <w:tc>
          <w:tcPr>
            <w:tcW w:w="112" w:type="dxa"/>
            <w:tcBorders/>
            <w:shd w:fill="FFFFFF" w:val="clear"/>
            <w:vAlign w:val="center"/>
          </w:tcPr>
          <w:p>
            <w:pPr>
              <w:pStyle w:val="TableContents"/>
              <w:bidi w:val="0"/>
              <w:spacing w:before="0" w:after="283"/>
              <w:jc w:val="left"/>
              <w:rPr/>
            </w:pPr>
            <w:r>
              <w:rPr/>
              <w:t>)</w:t>
            </w:r>
          </w:p>
        </w:tc>
      </w:tr>
      <w:tr>
        <w:trPr/>
        <w:tc>
          <w:tcPr>
            <w:tcW w:w="71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4" w:name="xdx_407_eus-gaap--StockholdersEquity_i02"/>
            <w:bookmarkEnd w:id="104"/>
          </w:p>
        </w:tc>
      </w:tr>
      <w:tr>
        <w:trPr/>
        <w:tc>
          <w:tcPr>
            <w:tcW w:w="7141"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97,098,365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99,662,997</w:t>
            </w:r>
          </w:p>
        </w:tc>
        <w:tc>
          <w:tcPr>
            <w:tcW w:w="112" w:type="dxa"/>
            <w:tcBorders/>
            <w:shd w:fill="FFFFFF" w:val="clear"/>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5" w:name="xdx_40E_eus-gaap--LiabilitiesAndStockhol"/>
            <w:bookmarkEnd w:id="105"/>
          </w:p>
        </w:tc>
      </w:tr>
      <w:tr>
        <w:trPr/>
        <w:tc>
          <w:tcPr>
            <w:tcW w:w="7141" w:type="dxa"/>
            <w:tcBorders/>
            <w:shd w:fill="FFFFFF" w:val="clear"/>
            <w:vAlign w:val="center"/>
          </w:tcPr>
          <w:p>
            <w:pPr>
              <w:pStyle w:val="TableContents"/>
              <w:bidi w:val="0"/>
              <w:spacing w:before="0" w:after="283"/>
              <w:jc w:val="left"/>
              <w:rPr/>
            </w:pPr>
            <w:r>
              <w:rPr/>
              <w:t>Total Liabilities, Temporary Equity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114,953,702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6" w:space="0" w:color="000000"/>
            </w:tcBorders>
            <w:shd w:fill="FFFFFF" w:val="clear"/>
            <w:tcMar>
              <w:bottom w:w="28" w:type="dxa"/>
            </w:tcMar>
            <w:vAlign w:val="center"/>
          </w:tcPr>
          <w:p>
            <w:pPr>
              <w:pStyle w:val="TableContents"/>
              <w:bidi w:val="0"/>
              <w:spacing w:before="0" w:after="283"/>
              <w:jc w:val="right"/>
              <w:rPr/>
            </w:pPr>
            <w:r>
              <w:rPr/>
              <w:t>118,506,271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6" w:name="A_004"/>
      <w:bookmarkEnd w:id="106"/>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7" w:name="xdx_30B_113_zEtoBfEZdSc7"/>
      <w:bookmarkStart w:id="108" w:name="xdx_30B_113_zEtoBfEZdSc7"/>
      <w:bookmarkEnd w:id="108"/>
    </w:p>
    <w:tbl>
      <w:tblPr>
        <w:tblW w:w="9323" w:type="dxa"/>
        <w:jc w:val="left"/>
        <w:tblInd w:w="0" w:type="dxa"/>
        <w:tblLayout w:type="fixed"/>
        <w:tblCellMar>
          <w:top w:w="0" w:type="dxa"/>
          <w:left w:w="0" w:type="dxa"/>
          <w:bottom w:w="0" w:type="dxa"/>
          <w:right w:w="0" w:type="dxa"/>
        </w:tblCellMar>
      </w:tblPr>
      <w:tblGrid>
        <w:gridCol w:w="5930"/>
        <w:gridCol w:w="60"/>
        <w:gridCol w:w="179"/>
        <w:gridCol w:w="1355"/>
        <w:gridCol w:w="95"/>
        <w:gridCol w:w="60"/>
        <w:gridCol w:w="173"/>
        <w:gridCol w:w="1361"/>
        <w:gridCol w:w="110"/>
      </w:tblGrid>
      <w:tr>
        <w:trPr/>
        <w:tc>
          <w:tcPr>
            <w:tcW w:w="5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9" w:name="xdx_493_20230101__20230331_zUX9MEfH2E91"/>
            <w:bookmarkEnd w:id="109"/>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92_20220101__20220331__us-gaap--Fre"/>
            <w:bookmarkEnd w:id="110"/>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111" w:name="xdx_40F_eus-gaap--FinancialDesignationPr"/>
            <w:bookmarkEnd w:id="111"/>
          </w:p>
        </w:tc>
      </w:tr>
      <w:tr>
        <w:trPr/>
        <w:tc>
          <w:tcPr>
            <w:tcW w:w="5930" w:type="dxa"/>
            <w:tcBorders/>
            <w:vAlign w:val="center"/>
          </w:tcPr>
          <w:p>
            <w:pPr>
              <w:pStyle w:val="TableContents"/>
              <w:bidi w:val="0"/>
              <w:spacing w:before="0" w:after="283"/>
              <w:jc w:val="center"/>
              <w:rPr/>
            </w:pPr>
            <w:r>
              <w:rPr/>
              <w:t>Financial Designation, Predecessor and Successor [Fixed List]</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11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11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11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11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112" w:name="xdx_40A_eus-gaap--OperatingExpensesAbstr"/>
            <w:bookmarkEnd w:id="112"/>
          </w:p>
        </w:tc>
      </w:tr>
      <w:tr>
        <w:trPr/>
        <w:tc>
          <w:tcPr>
            <w:tcW w:w="59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 w:name="xdx_401_eus-gaap--ResearchAndDevelopment"/>
            <w:bookmarkEnd w:id="113"/>
          </w:p>
        </w:tc>
      </w:tr>
      <w:tr>
        <w:trPr/>
        <w:tc>
          <w:tcPr>
            <w:tcW w:w="59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355" w:type="dxa"/>
            <w:tcBorders/>
            <w:shd w:fill="FFFFFF" w:val="clear"/>
            <w:vAlign w:val="center"/>
          </w:tcPr>
          <w:p>
            <w:pPr>
              <w:pStyle w:val="TableContents"/>
              <w:bidi w:val="0"/>
              <w:spacing w:before="0" w:after="283"/>
              <w:jc w:val="right"/>
              <w:rPr/>
            </w:pPr>
            <w:r>
              <w:rPr/>
              <w:t>1,055,943</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1361" w:type="dxa"/>
            <w:tcBorders/>
            <w:shd w:fill="FFFFFF" w:val="clear"/>
            <w:vAlign w:val="center"/>
          </w:tcPr>
          <w:p>
            <w:pPr>
              <w:pStyle w:val="TableContents"/>
              <w:bidi w:val="0"/>
              <w:spacing w:before="0" w:after="283"/>
              <w:jc w:val="right"/>
              <w:rPr/>
            </w:pPr>
            <w:r>
              <w:rPr/>
              <w:t>1,066,962</w:t>
            </w:r>
          </w:p>
        </w:tc>
        <w:tc>
          <w:tcPr>
            <w:tcW w:w="110" w:type="dxa"/>
            <w:tcBorders/>
            <w:shd w:fill="FFFFFF" w:val="clear"/>
            <w:vAlign w:val="center"/>
          </w:tcPr>
          <w:p>
            <w:pPr>
              <w:pStyle w:val="TableContents"/>
              <w:bidi w:val="0"/>
              <w:spacing w:before="0" w:after="283"/>
              <w:jc w:val="left"/>
              <w:rPr/>
            </w:pPr>
            <w:r>
              <w:rPr/>
              <w:t> </w:t>
            </w:r>
            <w:bookmarkStart w:id="114" w:name="xdx_407_eus-gaap--GeneralAndAdministrati"/>
            <w:bookmarkEnd w:id="114"/>
          </w:p>
        </w:tc>
      </w:tr>
      <w:tr>
        <w:trPr/>
        <w:tc>
          <w:tcPr>
            <w:tcW w:w="59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3,536,136</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2,301,369</w:t>
            </w:r>
          </w:p>
        </w:tc>
        <w:tc>
          <w:tcPr>
            <w:tcW w:w="11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 w:name="xdx_403_eus-gaap--OperatingExpenses_i01T"/>
            <w:bookmarkEnd w:id="115"/>
          </w:p>
        </w:tc>
      </w:tr>
      <w:tr>
        <w:trPr/>
        <w:tc>
          <w:tcPr>
            <w:tcW w:w="593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4,592,079</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3,368,331</w:t>
            </w:r>
          </w:p>
        </w:tc>
        <w:tc>
          <w:tcPr>
            <w:tcW w:w="11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 w:name="xdx_40B_eus-gaap--OperatingIncomeLoss_iT"/>
            <w:bookmarkEnd w:id="116"/>
          </w:p>
        </w:tc>
      </w:tr>
      <w:tr>
        <w:trPr/>
        <w:tc>
          <w:tcPr>
            <w:tcW w:w="593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(4,592,079</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(3,368,331</w:t>
            </w:r>
          </w:p>
        </w:tc>
        <w:tc>
          <w:tcPr>
            <w:tcW w:w="110" w:type="dxa"/>
            <w:tcBorders/>
            <w:shd w:fill="CCEEFF" w:val="clear"/>
            <w:vAlign w:val="center"/>
          </w:tcPr>
          <w:p>
            <w:pPr>
              <w:pStyle w:val="TableContents"/>
              <w:bidi w:val="0"/>
              <w:spacing w:before="0" w:after="283"/>
              <w:jc w:val="left"/>
              <w:rPr/>
            </w:pPr>
            <w:r>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 w:name="xdx_405_eus-gaap--NonoperatingIncomeExpe"/>
            <w:bookmarkEnd w:id="117"/>
          </w:p>
        </w:tc>
      </w:tr>
      <w:tr>
        <w:trPr/>
        <w:tc>
          <w:tcPr>
            <w:tcW w:w="5930"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 w:name="xdx_404_eus-gaap--InterestIncomeExpenseN"/>
            <w:bookmarkEnd w:id="118"/>
          </w:p>
        </w:tc>
      </w:tr>
      <w:tr>
        <w:trPr/>
        <w:tc>
          <w:tcPr>
            <w:tcW w:w="5930" w:type="dxa"/>
            <w:tcBorders/>
            <w:shd w:fill="FFFFFF" w:val="clear"/>
            <w:vAlign w:val="center"/>
          </w:tcPr>
          <w:p>
            <w:pPr>
              <w:pStyle w:val="TableContents"/>
              <w:bidi w:val="0"/>
              <w:spacing w:before="0" w:after="283"/>
              <w:jc w:val="left"/>
              <w:rPr/>
            </w:pPr>
            <w:r>
              <w:rPr/>
              <w:t>Interest (income) expense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(1,078</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168,064</w:t>
            </w:r>
          </w:p>
        </w:tc>
        <w:tc>
          <w:tcPr>
            <w:tcW w:w="110" w:type="dxa"/>
            <w:tcBorders/>
            <w:shd w:fill="FFFFFF" w:val="clear"/>
            <w:vAlign w:val="center"/>
          </w:tcPr>
          <w:p>
            <w:pPr>
              <w:pStyle w:val="TableContents"/>
              <w:bidi w:val="0"/>
              <w:spacing w:before="0" w:after="283"/>
              <w:jc w:val="left"/>
              <w:rPr/>
            </w:pPr>
            <w:r>
              <w:rPr/>
              <w:t> </w:t>
            </w:r>
            <w:bookmarkStart w:id="119" w:name="xdx_408_eus-gaap--DerivativeGainLossOnDe"/>
            <w:bookmarkEnd w:id="119"/>
          </w:p>
        </w:tc>
      </w:tr>
      <w:tr>
        <w:trPr/>
        <w:tc>
          <w:tcPr>
            <w:tcW w:w="593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212,100</w:t>
            </w:r>
          </w:p>
        </w:tc>
        <w:tc>
          <w:tcPr>
            <w:tcW w:w="11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0A_ecustom--PretaxNetLoss_iT_maNILz"/>
            <w:bookmarkEnd w:id="120"/>
          </w:p>
        </w:tc>
      </w:tr>
      <w:tr>
        <w:trPr/>
        <w:tc>
          <w:tcPr>
            <w:tcW w:w="5930" w:type="dxa"/>
            <w:tcBorders/>
            <w:shd w:fill="CCEEFF" w:val="clear"/>
            <w:vAlign w:val="center"/>
          </w:tcPr>
          <w:p>
            <w:pPr>
              <w:pStyle w:val="TableContents"/>
              <w:bidi w:val="0"/>
              <w:spacing w:before="0" w:after="283"/>
              <w:jc w:val="left"/>
              <w:rPr>
                <w:b/>
              </w:rPr>
            </w:pPr>
            <w:r>
              <w:rPr>
                <w:b/>
              </w:rPr>
              <w:t>Pre-Tax Net Loss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(4,591,001</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(3,748,495</w:t>
            </w:r>
          </w:p>
        </w:tc>
        <w:tc>
          <w:tcPr>
            <w:tcW w:w="110" w:type="dxa"/>
            <w:tcBorders/>
            <w:shd w:fill="CCEEFF" w:val="clear"/>
            <w:vAlign w:val="center"/>
          </w:tcPr>
          <w:p>
            <w:pPr>
              <w:pStyle w:val="TableContents"/>
              <w:bidi w:val="0"/>
              <w:spacing w:before="0" w:after="283"/>
              <w:jc w:val="left"/>
              <w:rPr/>
            </w:pPr>
            <w:r>
              <w:rPr/>
              <w:t>)</w:t>
            </w:r>
            <w:bookmarkStart w:id="121" w:name="xdx_401_eus-gaap--IncomeTaxExpenseBenefi"/>
            <w:bookmarkEnd w:id="121"/>
          </w:p>
        </w:tc>
      </w:tr>
      <w:tr>
        <w:trPr/>
        <w:tc>
          <w:tcPr>
            <w:tcW w:w="593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283"/>
              <w:jc w:val="right"/>
              <w:rPr/>
            </w:pPr>
            <w:r>
              <w:rPr/>
              <w:t>1,047,051</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2" w:name="xdx_400_eus-gaap--NetIncomeLoss_iT_mtNIL"/>
            <w:bookmarkEnd w:id="122"/>
          </w:p>
        </w:tc>
      </w:tr>
      <w:tr>
        <w:trPr/>
        <w:tc>
          <w:tcPr>
            <w:tcW w:w="593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(3,543,950</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(3,748,495</w:t>
            </w:r>
          </w:p>
        </w:tc>
        <w:tc>
          <w:tcPr>
            <w:tcW w:w="110" w:type="dxa"/>
            <w:tcBorders/>
            <w:shd w:fill="CCEEFF" w:val="clear"/>
            <w:vAlign w:val="center"/>
          </w:tcPr>
          <w:p>
            <w:pPr>
              <w:pStyle w:val="TableContents"/>
              <w:bidi w:val="0"/>
              <w:spacing w:before="0" w:after="283"/>
              <w:jc w:val="left"/>
              <w:rPr/>
            </w:pPr>
            <w:r>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9_eus-gaap--EarningsPerShareAbstra"/>
            <w:bookmarkEnd w:id="123"/>
          </w:p>
        </w:tc>
      </w:tr>
      <w:tr>
        <w:trPr/>
        <w:tc>
          <w:tcPr>
            <w:tcW w:w="5930" w:type="dxa"/>
            <w:tcBorders/>
            <w:shd w:fill="CCEEFF" w:val="clear"/>
            <w:vAlign w:val="center"/>
          </w:tcPr>
          <w:p>
            <w:pPr>
              <w:pStyle w:val="TableContents"/>
              <w:bidi w:val="0"/>
              <w:spacing w:before="0" w:after="283"/>
              <w:jc w:val="left"/>
              <w:rPr/>
            </w:pPr>
            <w:r>
              <w:rPr/>
              <w:t>Net Loss Per Share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4" w:name="xdx_403_eus-gaap--EarningsPerShareBasic_"/>
            <w:bookmarkEnd w:id="124"/>
          </w:p>
        </w:tc>
      </w:tr>
      <w:tr>
        <w:trPr/>
        <w:tc>
          <w:tcPr>
            <w:tcW w:w="5930" w:type="dxa"/>
            <w:tcBorders/>
            <w:shd w:fill="FFFFFF" w:val="clear"/>
            <w:vAlign w:val="center"/>
          </w:tcPr>
          <w:p>
            <w:pPr>
              <w:pStyle w:val="TableContents"/>
              <w:bidi w:val="0"/>
              <w:spacing w:before="0" w:after="283"/>
              <w:jc w:val="left"/>
              <w:rPr/>
            </w:pPr>
            <w:r>
              <w:rPr/>
              <w:t>- Basic and Diluted</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pPr>
            <w:r>
              <w:rPr/>
              <w:t>(0.39</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(0.16</w:t>
            </w:r>
          </w:p>
        </w:tc>
        <w:tc>
          <w:tcPr>
            <w:tcW w:w="110" w:type="dxa"/>
            <w:tcBorders/>
            <w:shd w:fill="FFFFFF" w:val="clear"/>
            <w:vAlign w:val="center"/>
          </w:tcPr>
          <w:p>
            <w:pPr>
              <w:pStyle w:val="TableContents"/>
              <w:bidi w:val="0"/>
              <w:spacing w:before="0" w:after="283"/>
              <w:jc w:val="left"/>
              <w:rPr/>
            </w:pPr>
            <w:r>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 w:name="xdx_400_eus-gaap--WeightedAverageNumberO"/>
            <w:bookmarkEnd w:id="125"/>
          </w:p>
        </w:tc>
      </w:tr>
      <w:tr>
        <w:trPr/>
        <w:tc>
          <w:tcPr>
            <w:tcW w:w="5930" w:type="dxa"/>
            <w:tcBorders/>
            <w:shd w:fill="FFFFFF" w:val="clear"/>
            <w:vAlign w:val="center"/>
          </w:tcPr>
          <w:p>
            <w:pPr>
              <w:pStyle w:val="TableContents"/>
              <w:bidi w:val="0"/>
              <w:spacing w:before="0" w:after="283"/>
              <w:jc w:val="left"/>
              <w:rPr/>
            </w:pPr>
            <w:r>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6" w:name="xdx_40F_eus-gaap--WeightedAverageNumberO"/>
            <w:bookmarkEnd w:id="126"/>
          </w:p>
        </w:tc>
      </w:tr>
      <w:tr>
        <w:trPr/>
        <w:tc>
          <w:tcPr>
            <w:tcW w:w="5930" w:type="dxa"/>
            <w:tcBorders/>
            <w:shd w:fill="CCEEFF" w:val="clear"/>
            <w:vAlign w:val="center"/>
          </w:tcPr>
          <w:p>
            <w:pPr>
              <w:pStyle w:val="TableContents"/>
              <w:bidi w:val="0"/>
              <w:spacing w:before="0" w:after="283"/>
              <w:jc w:val="left"/>
              <w:rPr/>
            </w:pPr>
            <w:r>
              <w:rPr/>
              <w:t>- Basic and Diluted</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9,128,488</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24,167,257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7" w:name="A_005"/>
      <w:bookmarkEnd w:id="127"/>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EQUITY (DEFICIENCY)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8" w:name="xdx_307_114_zdw1dd6bnnA3"/>
      <w:bookmarkStart w:id="129" w:name="xdx_307_114_zdw1dd6bnnA3"/>
      <w:bookmarkEnd w:id="129"/>
    </w:p>
    <w:tbl>
      <w:tblPr>
        <w:tblW w:w="11830" w:type="dxa"/>
        <w:jc w:val="left"/>
        <w:tblInd w:w="0" w:type="dxa"/>
        <w:tblLayout w:type="fixed"/>
        <w:tblCellMar>
          <w:top w:w="0" w:type="dxa"/>
          <w:left w:w="0" w:type="dxa"/>
          <w:bottom w:w="0" w:type="dxa"/>
          <w:right w:w="0" w:type="dxa"/>
        </w:tblCellMar>
      </w:tblPr>
      <w:tblGrid>
        <w:gridCol w:w="1520"/>
        <w:gridCol w:w="60"/>
        <w:gridCol w:w="68"/>
        <w:gridCol w:w="642"/>
        <w:gridCol w:w="60"/>
        <w:gridCol w:w="60"/>
        <w:gridCol w:w="430"/>
        <w:gridCol w:w="430"/>
        <w:gridCol w:w="60"/>
        <w:gridCol w:w="60"/>
        <w:gridCol w:w="68"/>
        <w:gridCol w:w="642"/>
        <w:gridCol w:w="60"/>
        <w:gridCol w:w="60"/>
        <w:gridCol w:w="430"/>
        <w:gridCol w:w="430"/>
        <w:gridCol w:w="60"/>
        <w:gridCol w:w="60"/>
        <w:gridCol w:w="60"/>
        <w:gridCol w:w="980"/>
        <w:gridCol w:w="60"/>
        <w:gridCol w:w="60"/>
        <w:gridCol w:w="231"/>
        <w:gridCol w:w="629"/>
        <w:gridCol w:w="60"/>
        <w:gridCol w:w="60"/>
        <w:gridCol w:w="140"/>
        <w:gridCol w:w="1220"/>
        <w:gridCol w:w="95"/>
        <w:gridCol w:w="60"/>
        <w:gridCol w:w="160"/>
        <w:gridCol w:w="1210"/>
        <w:gridCol w:w="95"/>
        <w:gridCol w:w="60"/>
        <w:gridCol w:w="151"/>
        <w:gridCol w:w="1189"/>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5_us-gaap--StatementEquityComponen"/>
            <w:bookmarkEnd w:id="130"/>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0_us-gaap--StatementEquityComponen"/>
            <w:bookmarkEnd w:id="131"/>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B2_us-gaap--StatementEquityComponen"/>
            <w:bookmarkEnd w:id="132"/>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 w:name="xdx_4B2_us-gaap--StatementEquityComponen"/>
            <w:bookmarkEnd w:id="133"/>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 w:name="xdx_4B8_us-gaap--StatementEquityComponen"/>
            <w:bookmarkEnd w:id="134"/>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 w:name="xdx_4BD_z7lHhUh46CK6"/>
            <w:bookmarkEnd w:id="135"/>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40"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 2023</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vAlign w:val="center"/>
          </w:tcPr>
          <w:p>
            <w:pPr>
              <w:pStyle w:val="TableContents"/>
              <w:bidi w:val="0"/>
              <w:spacing w:before="0" w:after="283"/>
              <w:jc w:val="center"/>
              <w:rPr>
                <w:b/>
              </w:rPr>
            </w:pPr>
            <w:r>
              <w:rPr>
                <w:b/>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vAlign w:val="center"/>
          </w:tcPr>
          <w:p>
            <w:pPr>
              <w:pStyle w:val="TableContents"/>
              <w:bidi w:val="0"/>
              <w:spacing w:before="0" w:after="283"/>
              <w:jc w:val="center"/>
              <w:rPr>
                <w:b/>
              </w:rPr>
            </w:pPr>
            <w:r>
              <w:rPr>
                <w:b/>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36" w:name="xdx_98F_eus-gaap--FinancialDesignationPr"/>
            <w:bookmarkEnd w:id="136"/>
          </w:p>
        </w:tc>
      </w:tr>
      <w:tr>
        <w:trPr/>
        <w:tc>
          <w:tcPr>
            <w:tcW w:w="1520" w:type="dxa"/>
            <w:tcBorders/>
            <w:shd w:fill="CCEEFF" w:val="clear"/>
            <w:vAlign w:val="center"/>
          </w:tcPr>
          <w:p>
            <w:pPr>
              <w:pStyle w:val="TableContents"/>
              <w:bidi w:val="0"/>
              <w:spacing w:before="0" w:after="283"/>
              <w:jc w:val="left"/>
              <w:rPr>
                <w:b/>
                <w:u w:val="single"/>
              </w:rPr>
            </w:pPr>
            <w:r>
              <w:rPr>
                <w:b/>
                <w:u w:val="single"/>
              </w:rPr>
              <w:t>Successor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b/>
                <w:u w:val="single"/>
              </w:rPr>
            </w:pPr>
            <w:r>
              <w:rPr>
                <w:b/>
                <w:u w:val="single"/>
              </w:rPr>
              <w:t>Successor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 w:name="xdx_43E_c20230101__20230331_eus-gaap--St"/>
            <w:bookmarkEnd w:id="137"/>
          </w:p>
        </w:tc>
      </w:tr>
      <w:tr>
        <w:trPr/>
        <w:tc>
          <w:tcPr>
            <w:tcW w:w="1520" w:type="dxa"/>
            <w:tcBorders/>
            <w:shd w:fill="CCEEFF" w:val="clear"/>
            <w:vAlign w:val="center"/>
          </w:tcPr>
          <w:p>
            <w:pPr>
              <w:pStyle w:val="TableContents"/>
              <w:bidi w:val="0"/>
              <w:spacing w:before="0" w:after="283"/>
              <w:jc w:val="left"/>
              <w:rPr>
                <w:b/>
              </w:rPr>
            </w:pPr>
            <w:r>
              <w:rPr>
                <w:b/>
              </w:rPr>
              <w:t>Balance - December 31, 2022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8" w:name="xdx_98B_eus-gaap--SharesOutstanding_iS_p"/>
            <w:bookmarkEnd w:id="138"/>
          </w:p>
        </w:tc>
        <w:tc>
          <w:tcPr>
            <w:tcW w:w="642" w:type="dxa"/>
            <w:tcBorders/>
            <w:shd w:fill="CCEEFF" w:val="clear"/>
            <w:vAlign w:val="center"/>
          </w:tcPr>
          <w:p>
            <w:pPr>
              <w:pStyle w:val="TableContents"/>
              <w:bidi w:val="0"/>
              <w:spacing w:before="0" w:after="283"/>
              <w:jc w:val="right"/>
              <w:rPr/>
            </w:pPr>
            <w:r>
              <w:rPr/>
              <w:t>8,635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9" w:name="xdx_982_eus-gaap--SharesOutstanding_iS_p"/>
            <w:bookmarkEnd w:id="139"/>
          </w:p>
        </w:tc>
        <w:tc>
          <w:tcPr>
            <w:tcW w:w="642" w:type="dxa"/>
            <w:tcBorders/>
            <w:shd w:fill="CCEEFF" w:val="clear"/>
            <w:vAlign w:val="center"/>
          </w:tcPr>
          <w:p>
            <w:pPr>
              <w:pStyle w:val="TableContents"/>
              <w:bidi w:val="0"/>
              <w:spacing w:before="0" w:after="283"/>
              <w:jc w:val="right"/>
              <w:rPr/>
            </w:pPr>
            <w:r>
              <w:rPr/>
              <w:t>5,062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0" w:name="xdx_985_eus-gaap--SharesOutstanding_iS_p"/>
            <w:bookmarkEnd w:id="140"/>
          </w:p>
        </w:tc>
        <w:tc>
          <w:tcPr>
            <w:tcW w:w="980" w:type="dxa"/>
            <w:tcBorders/>
            <w:shd w:fill="CCEEFF" w:val="clear"/>
            <w:vAlign w:val="center"/>
          </w:tcPr>
          <w:p>
            <w:pPr>
              <w:pStyle w:val="TableContents"/>
              <w:bidi w:val="0"/>
              <w:spacing w:before="0" w:after="283"/>
              <w:jc w:val="right"/>
              <w:rPr/>
            </w:pPr>
            <w:r>
              <w:rPr/>
              <w:t>9,016,139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104,583,271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(4,921,178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99,662,997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1" w:name="xdx_401_eus-gaap--StockRedeemedOrCalledD"/>
            <w:bookmarkEnd w:id="141"/>
          </w:p>
        </w:tc>
      </w:tr>
      <w:tr>
        <w:trPr/>
        <w:tc>
          <w:tcPr>
            <w:tcW w:w="1520" w:type="dxa"/>
            <w:tcBorders/>
            <w:shd w:fill="CCEEFF" w:val="clear"/>
            <w:vAlign w:val="center"/>
          </w:tcPr>
          <w:p>
            <w:pPr>
              <w:pStyle w:val="TableContents"/>
              <w:bidi w:val="0"/>
              <w:spacing w:before="0" w:after="283"/>
              <w:jc w:val="left"/>
              <w:rPr/>
            </w:pPr>
            <w:r>
              <w:rPr/>
              <w:t>Reclassification of formerly redeemable common stock</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F_eus-gaap--StockRedeemedOrCalledD"/>
            <w:bookmarkEnd w:id="142"/>
          </w:p>
        </w:tc>
        <w:tc>
          <w:tcPr>
            <w:tcW w:w="980" w:type="dxa"/>
            <w:tcBorders/>
            <w:shd w:fill="CCEEFF" w:val="clear"/>
            <w:vAlign w:val="center"/>
          </w:tcPr>
          <w:p>
            <w:pPr>
              <w:pStyle w:val="TableContents"/>
              <w:bidi w:val="0"/>
              <w:spacing w:before="0" w:after="283"/>
              <w:jc w:val="right"/>
              <w:rPr/>
            </w:pPr>
            <w:r>
              <w:rPr/>
              <w:t>65,783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331,324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331,331</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3" w:name="xdx_407_eus-gaap--StockIssuedDuringPerio"/>
            <w:bookmarkEnd w:id="143"/>
          </w:p>
        </w:tc>
      </w:tr>
      <w:tr>
        <w:trPr/>
        <w:tc>
          <w:tcPr>
            <w:tcW w:w="1520" w:type="dxa"/>
            <w:tcBorders/>
            <w:shd w:fill="CCEEFF" w:val="clear"/>
            <w:vAlign w:val="center"/>
          </w:tcPr>
          <w:p>
            <w:pPr>
              <w:pStyle w:val="TableContents"/>
              <w:bidi w:val="0"/>
              <w:spacing w:before="0" w:after="283"/>
              <w:jc w:val="left"/>
              <w:rPr/>
            </w:pPr>
            <w:r>
              <w:rPr/>
              <w:t>Issuance of common stock pursuant to vendor agreements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8_eus-gaap--StockIssuedDuringPerio"/>
            <w:bookmarkEnd w:id="144"/>
          </w:p>
        </w:tc>
        <w:tc>
          <w:tcPr>
            <w:tcW w:w="980" w:type="dxa"/>
            <w:tcBorders/>
            <w:shd w:fill="CCEEFF" w:val="clear"/>
            <w:vAlign w:val="center"/>
          </w:tcPr>
          <w:p>
            <w:pPr>
              <w:pStyle w:val="TableContents"/>
              <w:bidi w:val="0"/>
              <w:spacing w:before="0" w:after="283"/>
              <w:jc w:val="right"/>
              <w:rPr/>
            </w:pPr>
            <w:r>
              <w:rPr/>
              <w:t>130,000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395,187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395,200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5" w:name="xdx_400_eus-gaap--StockIssuedDuringPerio"/>
            <w:bookmarkEnd w:id="145"/>
          </w:p>
        </w:tc>
      </w:tr>
      <w:tr>
        <w:trPr/>
        <w:tc>
          <w:tcPr>
            <w:tcW w:w="1520" w:type="dxa"/>
            <w:tcBorders/>
            <w:shd w:fill="CCEEFF" w:val="clear"/>
            <w:vAlign w:val="center"/>
          </w:tcPr>
          <w:p>
            <w:pPr>
              <w:pStyle w:val="TableContents"/>
              <w:bidi w:val="0"/>
              <w:spacing w:before="0" w:after="283"/>
              <w:jc w:val="left"/>
              <w:rPr/>
            </w:pPr>
            <w:r>
              <w:rPr/>
              <w:t>Registration costs associated with preferred stock issuance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(34,674</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6" w:name="xdx_402_eus-gaap--AdjustmentsToAdditiona"/>
            <w:bookmarkEnd w:id="146"/>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287,461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287,461</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7" w:name="xdx_409_eus-gaap--NetIncomeLoss_zhBrY42H"/>
            <w:bookmarkEnd w:id="147"/>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(3,543,950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(3,543,950</w:t>
            </w:r>
          </w:p>
        </w:tc>
        <w:tc>
          <w:tcPr>
            <w:tcW w:w="110" w:type="dxa"/>
            <w:tcBorders/>
            <w:shd w:fill="CCEEFF" w:val="clear"/>
            <w:vAlign w:val="center"/>
          </w:tcPr>
          <w:p>
            <w:pPr>
              <w:pStyle w:val="TableContents"/>
              <w:bidi w:val="0"/>
              <w:spacing w:before="0" w:after="283"/>
              <w:jc w:val="left"/>
              <w:rPr/>
            </w:pPr>
            <w:r>
              <w:rPr/>
              <w:t>)</w:t>
            </w:r>
            <w:bookmarkStart w:id="148" w:name="xdx_433_c20230101__20230331_eus-gaap--St"/>
            <w:bookmarkEnd w:id="148"/>
          </w:p>
        </w:tc>
      </w:tr>
      <w:tr>
        <w:trPr/>
        <w:tc>
          <w:tcPr>
            <w:tcW w:w="1520" w:type="dxa"/>
            <w:tcBorders/>
            <w:shd w:fill="FFFFFF" w:val="clear"/>
            <w:vAlign w:val="center"/>
          </w:tcPr>
          <w:p>
            <w:pPr>
              <w:pStyle w:val="TableContents"/>
              <w:bidi w:val="0"/>
              <w:spacing w:before="0" w:after="283"/>
              <w:jc w:val="left"/>
              <w:rPr>
                <w:b/>
              </w:rPr>
            </w:pPr>
            <w:r>
              <w:rPr>
                <w:b/>
              </w:rPr>
              <w:t>Balance - March 31, 2023</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9" w:name="xdx_980_eus-gaap--SharesOutstanding_iE_p"/>
            <w:bookmarkEnd w:id="149"/>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8,635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0" w:name="xdx_980_eus-gaap--SharesOutstanding_iE_p"/>
            <w:bookmarkEnd w:id="150"/>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5,062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1" w:name="xdx_986_eus-gaap--SharesOutstanding_iE_p"/>
            <w:bookmarkEnd w:id="15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9,211,922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105,562,569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(8,465,128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FFFFFF" w:val="clear"/>
            <w:tcMar>
              <w:bottom w:w="28" w:type="dxa"/>
            </w:tcMar>
            <w:vAlign w:val="center"/>
          </w:tcPr>
          <w:p>
            <w:pPr>
              <w:pStyle w:val="TableContents"/>
              <w:bidi w:val="0"/>
              <w:spacing w:before="0" w:after="283"/>
              <w:jc w:val="right"/>
              <w:rPr/>
            </w:pPr>
            <w:r>
              <w:rPr/>
              <w:t>97,098,365</w:t>
            </w:r>
          </w:p>
        </w:tc>
        <w:tc>
          <w:tcPr>
            <w:tcW w:w="110" w:type="dxa"/>
            <w:tcBorders/>
            <w:shd w:fill="FFFFFF" w:val="clear"/>
            <w:vAlign w:val="center"/>
          </w:tcPr>
          <w:p>
            <w:pPr>
              <w:pStyle w:val="TableContents"/>
              <w:bidi w:val="0"/>
              <w:spacing w:before="0" w:after="283"/>
              <w:jc w:val="left"/>
              <w:rPr/>
            </w:pPr>
            <w:r>
              <w:rPr/>
              <w:t> </w:t>
            </w:r>
            <w:bookmarkStart w:id="152" w:name="xdx_434_c20230101__20230331_eus-gaap--St"/>
            <w:bookmarkEnd w:id="152"/>
          </w:p>
        </w:tc>
      </w:tr>
      <w:tr>
        <w:trPr/>
        <w:tc>
          <w:tcPr>
            <w:tcW w:w="152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3" w:name="xdx_989_eus-gaap--SharesOutstanding_iE_p"/>
            <w:bookmarkEnd w:id="153"/>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8,635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4" w:name="xdx_98D_eus-gaap--SharesOutstanding_iE_p"/>
            <w:bookmarkEnd w:id="154"/>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5,062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5" w:name="xdx_986_eus-gaap--SharesOutstanding_iE_p"/>
            <w:bookmarkEnd w:id="15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9,211,922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105,562,569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(8,465,128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FFFFFF" w:val="clear"/>
            <w:tcMar>
              <w:bottom w:w="28" w:type="dxa"/>
            </w:tcMar>
            <w:vAlign w:val="center"/>
          </w:tcPr>
          <w:p>
            <w:pPr>
              <w:pStyle w:val="TableContents"/>
              <w:bidi w:val="0"/>
              <w:spacing w:before="0" w:after="283"/>
              <w:jc w:val="right"/>
              <w:rPr/>
            </w:pPr>
            <w:r>
              <w:rPr/>
              <w:t>97,098,365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3"/>
        <w:gridCol w:w="60"/>
        <w:gridCol w:w="60"/>
        <w:gridCol w:w="800"/>
        <w:gridCol w:w="60"/>
        <w:gridCol w:w="60"/>
        <w:gridCol w:w="430"/>
        <w:gridCol w:w="430"/>
        <w:gridCol w:w="60"/>
        <w:gridCol w:w="60"/>
        <w:gridCol w:w="60"/>
        <w:gridCol w:w="1100"/>
        <w:gridCol w:w="60"/>
        <w:gridCol w:w="60"/>
        <w:gridCol w:w="231"/>
        <w:gridCol w:w="629"/>
        <w:gridCol w:w="60"/>
        <w:gridCol w:w="60"/>
        <w:gridCol w:w="140"/>
        <w:gridCol w:w="1100"/>
        <w:gridCol w:w="60"/>
        <w:gridCol w:w="60"/>
        <w:gridCol w:w="145"/>
        <w:gridCol w:w="1225"/>
        <w:gridCol w:w="95"/>
        <w:gridCol w:w="60"/>
        <w:gridCol w:w="142"/>
        <w:gridCol w:w="1203"/>
        <w:gridCol w:w="112"/>
      </w:tblGrid>
      <w:tr>
        <w:trPr/>
        <w:tc>
          <w:tcPr>
            <w:tcW w:w="1583" w:type="dxa"/>
            <w:tcBorders/>
            <w:vAlign w:val="center"/>
          </w:tcPr>
          <w:p>
            <w:pPr>
              <w:pStyle w:val="TableContents"/>
              <w:bidi w:val="0"/>
              <w:spacing w:before="0" w:after="283"/>
              <w:jc w:val="center"/>
              <w:rPr>
                <w:b/>
              </w:rPr>
            </w:pPr>
            <w:bookmarkStart w:id="156" w:name="xdx_984_eus-gaap--FinancialDesignationPr"/>
            <w:bookmarkEnd w:id="156"/>
            <w:r>
              <w:rPr>
                <w:b/>
              </w:rPr>
              <w:t>Predecessor</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B5_us-gaap--StatementEquityComponen"/>
            <w:bookmarkEnd w:id="157"/>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 w:name="xdx_4BB_us-gaap--FreshStartAdjustmentsTy"/>
            <w:bookmarkEnd w:id="158"/>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 w:name="xdx_4B7_us-gaap--FreshStartAdjustmentsTy"/>
            <w:bookmarkEnd w:id="159"/>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BA_us-gaap--FreshStartAdjustmentsTy"/>
            <w:bookmarkEnd w:id="160"/>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BA_z22xEnxnbSR4"/>
            <w:bookmarkEnd w:id="161"/>
          </w:p>
        </w:tc>
        <w:tc>
          <w:tcPr>
            <w:tcW w:w="13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Deficiency</w:t>
            </w:r>
          </w:p>
        </w:tc>
        <w:tc>
          <w:tcPr>
            <w:tcW w:w="112" w:type="dxa"/>
            <w:tcBorders/>
            <w:vAlign w:val="center"/>
          </w:tcPr>
          <w:p>
            <w:pPr>
              <w:pStyle w:val="TableContents"/>
              <w:bidi w:val="0"/>
              <w:spacing w:before="0" w:after="283"/>
              <w:jc w:val="left"/>
              <w:rPr/>
            </w:pPr>
            <w:r>
              <w:rPr/>
              <w:t> </w:t>
            </w:r>
          </w:p>
        </w:tc>
      </w:tr>
      <w:tr>
        <w:trPr/>
        <w:tc>
          <w:tcPr>
            <w:tcW w:w="1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 2022</w:t>
            </w:r>
          </w:p>
        </w:tc>
        <w:tc>
          <w:tcPr>
            <w:tcW w:w="112" w:type="dxa"/>
            <w:tcBorders/>
            <w:vAlign w:val="center"/>
          </w:tcPr>
          <w:p>
            <w:pPr>
              <w:pStyle w:val="TableContents"/>
              <w:bidi w:val="0"/>
              <w:spacing w:before="0" w:after="283"/>
              <w:jc w:val="left"/>
              <w:rPr/>
            </w:pPr>
            <w:r>
              <w:rPr/>
              <w:t> </w:t>
            </w:r>
          </w:p>
        </w:tc>
      </w:tr>
      <w:tr>
        <w:trPr/>
        <w:tc>
          <w:tcPr>
            <w:tcW w:w="1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vAlign w:val="center"/>
          </w:tcPr>
          <w:p>
            <w:pPr>
              <w:pStyle w:val="TableContents"/>
              <w:bidi w:val="0"/>
              <w:spacing w:before="0" w:after="283"/>
              <w:jc w:val="center"/>
              <w:rPr>
                <w:b/>
              </w:rPr>
            </w:pPr>
            <w:r>
              <w:rPr>
                <w:b/>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1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vAlign w:val="center"/>
          </w:tcPr>
          <w:p>
            <w:pPr>
              <w:pStyle w:val="TableContents"/>
              <w:bidi w:val="0"/>
              <w:spacing w:before="0" w:after="283"/>
              <w:jc w:val="center"/>
              <w:rPr>
                <w:b/>
              </w:rPr>
            </w:pPr>
            <w:r>
              <w:rPr>
                <w:b/>
              </w:rPr>
              <w:t>Stockholders’</w:t>
            </w:r>
          </w:p>
        </w:tc>
        <w:tc>
          <w:tcPr>
            <w:tcW w:w="112" w:type="dxa"/>
            <w:tcBorders/>
            <w:vAlign w:val="center"/>
          </w:tcPr>
          <w:p>
            <w:pPr>
              <w:pStyle w:val="TableContents"/>
              <w:bidi w:val="0"/>
              <w:spacing w:before="0" w:after="283"/>
              <w:jc w:val="left"/>
              <w:rPr/>
            </w:pPr>
            <w:r>
              <w:rPr/>
              <w:t> </w:t>
            </w:r>
          </w:p>
        </w:tc>
      </w:tr>
      <w:tr>
        <w:trPr/>
        <w:tc>
          <w:tcPr>
            <w:tcW w:w="1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Deficiency</w:t>
            </w:r>
          </w:p>
        </w:tc>
        <w:tc>
          <w:tcPr>
            <w:tcW w:w="112" w:type="dxa"/>
            <w:tcBorders/>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283"/>
              <w:jc w:val="left"/>
              <w:rPr>
                <w:b/>
                <w:u w:val="single"/>
              </w:rPr>
            </w:pPr>
            <w:r>
              <w:rPr>
                <w:b/>
                <w:u w:val="single"/>
              </w:rPr>
              <w:t>Predecessor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2" w:name="xdx_438_c20220101__20220331__us-gaap--Fr"/>
            <w:bookmarkEnd w:id="162"/>
          </w:p>
        </w:tc>
      </w:tr>
      <w:tr>
        <w:trPr/>
        <w:tc>
          <w:tcPr>
            <w:tcW w:w="1583" w:type="dxa"/>
            <w:tcBorders/>
            <w:shd w:fill="FFFFFF" w:val="clear"/>
            <w:vAlign w:val="center"/>
          </w:tcPr>
          <w:p>
            <w:pPr>
              <w:pStyle w:val="TableContents"/>
              <w:bidi w:val="0"/>
              <w:spacing w:before="0" w:after="283"/>
              <w:jc w:val="left"/>
              <w:rPr>
                <w:b/>
              </w:rPr>
            </w:pPr>
            <w:r>
              <w:rPr>
                <w:b/>
              </w:rPr>
              <w:t>Balance - December 31,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7_eus-gaap--SharesOutstanding_iS_p"/>
            <w:bookmarkEnd w:id="163"/>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8_eus-gaap--SharesOutstanding_iS_p"/>
            <w:bookmarkEnd w:id="164"/>
          </w:p>
        </w:tc>
        <w:tc>
          <w:tcPr>
            <w:tcW w:w="1100" w:type="dxa"/>
            <w:tcBorders/>
            <w:shd w:fill="FFFFFF" w:val="clear"/>
            <w:vAlign w:val="center"/>
          </w:tcPr>
          <w:p>
            <w:pPr>
              <w:pStyle w:val="TableContents"/>
              <w:bidi w:val="0"/>
              <w:spacing w:before="0" w:after="283"/>
              <w:jc w:val="right"/>
              <w:rPr/>
            </w:pPr>
            <w:r>
              <w:rPr/>
              <w:t>24,167,257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629" w:type="dxa"/>
            <w:tcBorders/>
            <w:shd w:fill="FFFFFF" w:val="clear"/>
            <w:vAlign w:val="center"/>
          </w:tcPr>
          <w:p>
            <w:pPr>
              <w:pStyle w:val="TableContents"/>
              <w:bidi w:val="0"/>
              <w:spacing w:before="0" w:after="283"/>
              <w:jc w:val="right"/>
              <w:rPr/>
            </w:pPr>
            <w:r>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40,065,109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283"/>
              <w:jc w:val="right"/>
              <w:rPr/>
            </w:pPr>
            <w:r>
              <w:rPr/>
              <w:t>(52,896,817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203" w:type="dxa"/>
            <w:tcBorders/>
            <w:shd w:fill="FFFFFF" w:val="clear"/>
            <w:vAlign w:val="center"/>
          </w:tcPr>
          <w:p>
            <w:pPr>
              <w:pStyle w:val="TableContents"/>
              <w:bidi w:val="0"/>
              <w:spacing w:before="0" w:after="283"/>
              <w:jc w:val="right"/>
              <w:rPr/>
            </w:pPr>
            <w:r>
              <w:rPr/>
              <w:t>(12,831,466</w:t>
            </w:r>
          </w:p>
        </w:tc>
        <w:tc>
          <w:tcPr>
            <w:tcW w:w="112" w:type="dxa"/>
            <w:tcBorders/>
            <w:shd w:fill="FFFFFF" w:val="clear"/>
            <w:vAlign w:val="center"/>
          </w:tcPr>
          <w:p>
            <w:pPr>
              <w:pStyle w:val="TableContents"/>
              <w:bidi w:val="0"/>
              <w:spacing w:before="0" w:after="283"/>
              <w:jc w:val="left"/>
              <w:rPr/>
            </w:pPr>
            <w:r>
              <w:rPr/>
              <w:t>)</w:t>
            </w:r>
            <w:bookmarkStart w:id="165" w:name="xdx_432_c20220101__20220331__us-gaap--Fr"/>
            <w:bookmarkEnd w:id="165"/>
          </w:p>
        </w:tc>
      </w:tr>
      <w:tr>
        <w:trPr/>
        <w:tc>
          <w:tcPr>
            <w:tcW w:w="1583"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 w:name="xdx_982_eus-gaap--SharesOutstanding_iS_p"/>
            <w:bookmarkEnd w:id="166"/>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1_eus-gaap--SharesOutstanding_iS_p"/>
            <w:bookmarkEnd w:id="167"/>
          </w:p>
        </w:tc>
        <w:tc>
          <w:tcPr>
            <w:tcW w:w="1100" w:type="dxa"/>
            <w:tcBorders/>
            <w:shd w:fill="FFFFFF" w:val="clear"/>
            <w:vAlign w:val="center"/>
          </w:tcPr>
          <w:p>
            <w:pPr>
              <w:pStyle w:val="TableContents"/>
              <w:bidi w:val="0"/>
              <w:spacing w:before="0" w:after="283"/>
              <w:jc w:val="right"/>
              <w:rPr/>
            </w:pPr>
            <w:r>
              <w:rPr/>
              <w:t>24,167,257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629" w:type="dxa"/>
            <w:tcBorders/>
            <w:shd w:fill="FFFFFF" w:val="clear"/>
            <w:vAlign w:val="center"/>
          </w:tcPr>
          <w:p>
            <w:pPr>
              <w:pStyle w:val="TableContents"/>
              <w:bidi w:val="0"/>
              <w:spacing w:before="0" w:after="283"/>
              <w:jc w:val="right"/>
              <w:rPr/>
            </w:pPr>
            <w:r>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40,065,109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283"/>
              <w:jc w:val="right"/>
              <w:rPr/>
            </w:pPr>
            <w:r>
              <w:rPr/>
              <w:t>(52,896,817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203" w:type="dxa"/>
            <w:tcBorders/>
            <w:shd w:fill="FFFFFF" w:val="clear"/>
            <w:vAlign w:val="center"/>
          </w:tcPr>
          <w:p>
            <w:pPr>
              <w:pStyle w:val="TableContents"/>
              <w:bidi w:val="0"/>
              <w:spacing w:before="0" w:after="283"/>
              <w:jc w:val="right"/>
              <w:rPr/>
            </w:pPr>
            <w:r>
              <w:rPr/>
              <w:t>(12,831,466</w:t>
            </w:r>
          </w:p>
        </w:tc>
        <w:tc>
          <w:tcPr>
            <w:tcW w:w="112" w:type="dxa"/>
            <w:tcBorders/>
            <w:shd w:fill="FFFFFF" w:val="clear"/>
            <w:vAlign w:val="center"/>
          </w:tcPr>
          <w:p>
            <w:pPr>
              <w:pStyle w:val="TableContents"/>
              <w:bidi w:val="0"/>
              <w:spacing w:before="0" w:after="283"/>
              <w:jc w:val="left"/>
              <w:rPr/>
            </w:pPr>
            <w:r>
              <w:rPr/>
              <w:t>)</w:t>
            </w:r>
          </w:p>
        </w:tc>
      </w:tr>
      <w:tr>
        <w:trPr/>
        <w:tc>
          <w:tcPr>
            <w:tcW w:w="1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8" w:name="xdx_409_ecustom--StockIssuedDuringPeriod"/>
            <w:bookmarkEnd w:id="168"/>
          </w:p>
        </w:tc>
      </w:tr>
      <w:tr>
        <w:trPr/>
        <w:tc>
          <w:tcPr>
            <w:tcW w:w="15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Issuance of preferred stock in private placement </w:t>
            </w:r>
            <w:bookmarkStart w:id="169" w:name="xdx_F48_zOQ4drhx8JC"/>
            <w:bookmarkEnd w:id="169"/>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 w:name="xdx_988_ecustom--StockIssuedDuringPeriod"/>
            <w:bookmarkEnd w:id="170"/>
          </w:p>
        </w:tc>
        <w:tc>
          <w:tcPr>
            <w:tcW w:w="800" w:type="dxa"/>
            <w:tcBorders/>
            <w:shd w:fill="FFFFFF" w:val="clear"/>
            <w:vAlign w:val="center"/>
          </w:tcPr>
          <w:p>
            <w:pPr>
              <w:pStyle w:val="TableContents"/>
              <w:bidi w:val="0"/>
              <w:spacing w:before="0" w:after="283"/>
              <w:jc w:val="right"/>
              <w:rPr/>
            </w:pPr>
            <w:r>
              <w:rPr/>
              <w:t>133,541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393,301</w:t>
            </w:r>
          </w:p>
        </w:tc>
        <w:tc>
          <w:tcPr>
            <w:tcW w:w="112"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1" w:name="xdx_402_eus-gaap--AdjustmentsToAdditiona"/>
            <w:bookmarkEnd w:id="171"/>
          </w:p>
        </w:tc>
      </w:tr>
      <w:tr>
        <w:trPr/>
        <w:tc>
          <w:tcPr>
            <w:tcW w:w="1583"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1,941,746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1,941,746</w:t>
            </w:r>
          </w:p>
        </w:tc>
        <w:tc>
          <w:tcPr>
            <w:tcW w:w="112"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2" w:name="xdx_409_eus-gaap--NetIncomeLoss_zpv40rmo"/>
            <w:bookmarkEnd w:id="172"/>
          </w:p>
        </w:tc>
      </w:tr>
      <w:tr>
        <w:trPr/>
        <w:tc>
          <w:tcPr>
            <w:tcW w:w="158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(3,748,495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(3,748,495</w:t>
            </w:r>
          </w:p>
        </w:tc>
        <w:tc>
          <w:tcPr>
            <w:tcW w:w="112" w:type="dxa"/>
            <w:tcBorders/>
            <w:shd w:fill="FFFFFF" w:val="clear"/>
            <w:vAlign w:val="center"/>
          </w:tcPr>
          <w:p>
            <w:pPr>
              <w:pStyle w:val="TableContents"/>
              <w:bidi w:val="0"/>
              <w:spacing w:before="0" w:after="283"/>
              <w:jc w:val="left"/>
              <w:rPr/>
            </w:pPr>
            <w:r>
              <w:rPr/>
              <w:t>)</w:t>
            </w:r>
          </w:p>
        </w:tc>
      </w:tr>
      <w:tr>
        <w:trPr/>
        <w:tc>
          <w:tcPr>
            <w:tcW w:w="1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3" w:name="xdx_43C_c20220101__20220331__us-gaap--Fr"/>
            <w:bookmarkEnd w:id="173"/>
          </w:p>
        </w:tc>
      </w:tr>
      <w:tr>
        <w:trPr/>
        <w:tc>
          <w:tcPr>
            <w:tcW w:w="1583" w:type="dxa"/>
            <w:tcBorders/>
            <w:shd w:fill="FFFFFF" w:val="clear"/>
            <w:vAlign w:val="center"/>
          </w:tcPr>
          <w:p>
            <w:pPr>
              <w:pStyle w:val="TableContents"/>
              <w:bidi w:val="0"/>
              <w:spacing w:before="0" w:after="283"/>
              <w:jc w:val="left"/>
              <w:rPr>
                <w:b/>
              </w:rPr>
            </w:pPr>
            <w:r>
              <w:rPr>
                <w:b/>
              </w:rPr>
              <w:t>Balance - March 31,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 w:name="xdx_98F_eus-gaap--SharesOutstanding_iE_p"/>
            <w:bookmarkEnd w:id="17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133,541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5" w:name="xdx_984_eus-gaap--SharesOutstanding_iE_p"/>
            <w:bookmarkEnd w:id="17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24,167,257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42,400,155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(56,645,312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(14,244,914</w:t>
            </w:r>
          </w:p>
        </w:tc>
        <w:tc>
          <w:tcPr>
            <w:tcW w:w="112" w:type="dxa"/>
            <w:tcBorders/>
            <w:shd w:fill="FFFFFF" w:val="clear"/>
            <w:vAlign w:val="center"/>
          </w:tcPr>
          <w:p>
            <w:pPr>
              <w:pStyle w:val="TableContents"/>
              <w:bidi w:val="0"/>
              <w:spacing w:before="0" w:after="283"/>
              <w:jc w:val="left"/>
              <w:rPr/>
            </w:pPr>
            <w:r>
              <w:rPr/>
              <w:t>)</w:t>
            </w:r>
            <w:bookmarkStart w:id="176" w:name="xdx_438_c20220101__20220331__us-gaap--Fr"/>
            <w:bookmarkEnd w:id="176"/>
          </w:p>
        </w:tc>
      </w:tr>
      <w:tr>
        <w:trPr/>
        <w:tc>
          <w:tcPr>
            <w:tcW w:w="1583"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7" w:name="xdx_98B_eus-gaap--SharesOutstanding_iE_p"/>
            <w:bookmarkEnd w:id="177"/>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133,541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8" w:name="xdx_980_eus-gaap--SharesOutstanding_iE_p"/>
            <w:bookmarkEnd w:id="17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24,167,257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42,400,155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(56,645,312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(14,244,914</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05"/>
        <w:gridCol w:w="23"/>
        <w:gridCol w:w="6380"/>
      </w:tblGrid>
      <w:tr>
        <w:trPr/>
        <w:tc>
          <w:tcPr>
            <w:tcW w:w="305" w:type="dxa"/>
            <w:tcBorders/>
            <w:vAlign w:val="center"/>
          </w:tcPr>
          <w:p>
            <w:pPr>
              <w:pStyle w:val="TableContents"/>
              <w:bidi w:val="0"/>
              <w:spacing w:before="0" w:after="283"/>
              <w:jc w:val="right"/>
              <w:rPr/>
            </w:pPr>
            <w:bookmarkStart w:id="179" w:name="xdx_F09_zp3lWVuhaJTa"/>
            <w:bookmarkEnd w:id="179"/>
            <w:r>
              <w:rPr/>
              <w:t>[1]</w:t>
            </w:r>
          </w:p>
        </w:tc>
        <w:tc>
          <w:tcPr>
            <w:tcW w:w="23" w:type="dxa"/>
            <w:tcBorders/>
            <w:vAlign w:val="center"/>
          </w:tcPr>
          <w:p>
            <w:pPr>
              <w:pStyle w:val="TableContents"/>
              <w:bidi w:val="0"/>
              <w:spacing w:before="0" w:after="283"/>
              <w:jc w:val="left"/>
              <w:rPr>
                <w:sz w:val="4"/>
                <w:szCs w:val="4"/>
              </w:rPr>
            </w:pPr>
            <w:r>
              <w:rPr>
                <w:sz w:val="4"/>
                <w:szCs w:val="4"/>
              </w:rPr>
            </w:r>
            <w:bookmarkStart w:id="180" w:name="xdx_F17_ztJgfoiGiXH2"/>
            <w:bookmarkStart w:id="181" w:name="xdx_F17_ztJgfoiGiXH2"/>
            <w:bookmarkEnd w:id="181"/>
          </w:p>
        </w:tc>
        <w:tc>
          <w:tcPr>
            <w:tcW w:w="6380" w:type="dxa"/>
            <w:tcBorders/>
            <w:vAlign w:val="center"/>
          </w:tcPr>
          <w:p>
            <w:pPr>
              <w:pStyle w:val="TableContents"/>
              <w:bidi w:val="0"/>
              <w:spacing w:before="0" w:after="283"/>
              <w:jc w:val="both"/>
              <w:rPr/>
            </w:pPr>
            <w:r>
              <w:rPr/>
              <w:t>Includes gross proceeds of $</w:t>
            </w:r>
            <w:bookmarkStart w:id="182" w:name="xdx_909_ecustom--GrossProceedsFromIssuan"/>
            <w:bookmarkEnd w:id="182"/>
            <w:r>
              <w:rPr/>
              <w:t>419,320 less issuance costs of $</w:t>
            </w:r>
            <w:bookmarkStart w:id="183" w:name="xdx_90B_eus-gaap--PaymentsOfFinancingCos"/>
            <w:bookmarkEnd w:id="183"/>
            <w:r>
              <w:rPr/>
              <w:t>26,019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4" w:name="A_006"/>
      <w:bookmarkEnd w:id="184"/>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5" w:name="xdx_307_112_z8dMQ3NI78K7"/>
      <w:bookmarkStart w:id="186" w:name="xdx_307_112_z8dMQ3NI78K7"/>
      <w:bookmarkEnd w:id="186"/>
    </w:p>
    <w:tbl>
      <w:tblPr>
        <w:tblW w:w="10205" w:type="dxa"/>
        <w:jc w:val="left"/>
        <w:tblInd w:w="0" w:type="dxa"/>
        <w:tblLayout w:type="fixed"/>
        <w:tblCellMar>
          <w:top w:w="0" w:type="dxa"/>
          <w:left w:w="0" w:type="dxa"/>
          <w:bottom w:w="0" w:type="dxa"/>
          <w:right w:w="0" w:type="dxa"/>
        </w:tblCellMar>
      </w:tblPr>
      <w:tblGrid>
        <w:gridCol w:w="6818"/>
        <w:gridCol w:w="60"/>
        <w:gridCol w:w="178"/>
        <w:gridCol w:w="1351"/>
        <w:gridCol w:w="95"/>
        <w:gridCol w:w="60"/>
        <w:gridCol w:w="177"/>
        <w:gridCol w:w="1353"/>
        <w:gridCol w:w="113"/>
      </w:tblGrid>
      <w:tr>
        <w:trPr/>
        <w:tc>
          <w:tcPr>
            <w:tcW w:w="6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87" w:name="xdx_494_20230101__20230331_zXCO6bUGMzte"/>
            <w:bookmarkEnd w:id="187"/>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 w:name="xdx_49F_20220101__20220331__us-gaap--Fre"/>
            <w:bookmarkEnd w:id="188"/>
          </w:p>
        </w:tc>
        <w:tc>
          <w:tcPr>
            <w:tcW w:w="1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3" w:type="dxa"/>
            <w:tcBorders/>
            <w:vAlign w:val="center"/>
          </w:tcPr>
          <w:p>
            <w:pPr>
              <w:pStyle w:val="TableContents"/>
              <w:bidi w:val="0"/>
              <w:spacing w:before="0" w:after="283"/>
              <w:jc w:val="left"/>
              <w:rPr/>
            </w:pPr>
            <w:r>
              <w:rPr/>
              <w:t> </w:t>
            </w:r>
            <w:bookmarkStart w:id="189" w:name="xdx_40F_eus-gaap--FinancialDesignationPr"/>
            <w:bookmarkEnd w:id="189"/>
          </w:p>
        </w:tc>
      </w:tr>
      <w:tr>
        <w:trPr/>
        <w:tc>
          <w:tcPr>
            <w:tcW w:w="681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Financial Designation, Predecessor and Successor [Fixed List]</w:t>
            </w:r>
          </w:p>
        </w:tc>
        <w:tc>
          <w:tcPr>
            <w:tcW w:w="60" w:type="dxa"/>
            <w:tcBorders/>
            <w:vAlign w:val="center"/>
          </w:tcPr>
          <w:p>
            <w:pPr>
              <w:pStyle w:val="TableContents"/>
              <w:bidi w:val="0"/>
              <w:spacing w:before="0" w:after="283"/>
              <w:jc w:val="left"/>
              <w:rPr/>
            </w:pPr>
            <w:r>
              <w:rPr/>
              <w:t> </w:t>
            </w:r>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113" w:type="dxa"/>
            <w:tcBorders/>
            <w:vAlign w:val="center"/>
          </w:tcPr>
          <w:p>
            <w:pPr>
              <w:pStyle w:val="TableContents"/>
              <w:bidi w:val="0"/>
              <w:spacing w:before="0" w:after="283"/>
              <w:jc w:val="left"/>
              <w:rPr/>
            </w:pPr>
            <w:r>
              <w:rPr/>
              <w:t> </w:t>
            </w:r>
          </w:p>
        </w:tc>
      </w:tr>
      <w:tr>
        <w:trPr/>
        <w:tc>
          <w:tcPr>
            <w:tcW w:w="6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113" w:type="dxa"/>
            <w:tcBorders/>
            <w:vAlign w:val="center"/>
          </w:tcPr>
          <w:p>
            <w:pPr>
              <w:pStyle w:val="TableContents"/>
              <w:bidi w:val="0"/>
              <w:spacing w:before="0" w:after="283"/>
              <w:jc w:val="left"/>
              <w:rPr/>
            </w:pPr>
            <w:r>
              <w:rPr/>
              <w:t> </w:t>
            </w:r>
          </w:p>
        </w:tc>
      </w:tr>
      <w:tr>
        <w:trPr/>
        <w:tc>
          <w:tcPr>
            <w:tcW w:w="6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For the Three</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vAlign w:val="center"/>
          </w:tcPr>
          <w:p>
            <w:pPr>
              <w:pStyle w:val="TableContents"/>
              <w:bidi w:val="0"/>
              <w:spacing w:before="0" w:after="283"/>
              <w:jc w:val="center"/>
              <w:rPr>
                <w:b/>
              </w:rPr>
            </w:pPr>
            <w:r>
              <w:rPr>
                <w:b/>
              </w:rPr>
              <w:t>For the Three</w:t>
            </w:r>
          </w:p>
        </w:tc>
        <w:tc>
          <w:tcPr>
            <w:tcW w:w="113" w:type="dxa"/>
            <w:tcBorders/>
            <w:vAlign w:val="center"/>
          </w:tcPr>
          <w:p>
            <w:pPr>
              <w:pStyle w:val="TableContents"/>
              <w:bidi w:val="0"/>
              <w:spacing w:before="0" w:after="283"/>
              <w:jc w:val="left"/>
              <w:rPr/>
            </w:pPr>
            <w:r>
              <w:rPr/>
              <w:t> </w:t>
            </w:r>
          </w:p>
        </w:tc>
      </w:tr>
      <w:tr>
        <w:trPr/>
        <w:tc>
          <w:tcPr>
            <w:tcW w:w="6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Months Ended</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vAlign w:val="center"/>
          </w:tcPr>
          <w:p>
            <w:pPr>
              <w:pStyle w:val="TableContents"/>
              <w:bidi w:val="0"/>
              <w:spacing w:before="0" w:after="283"/>
              <w:jc w:val="center"/>
              <w:rPr>
                <w:b/>
              </w:rPr>
            </w:pPr>
            <w:r>
              <w:rPr>
                <w:b/>
              </w:rPr>
              <w:t>Months Ended</w:t>
            </w:r>
          </w:p>
        </w:tc>
        <w:tc>
          <w:tcPr>
            <w:tcW w:w="113" w:type="dxa"/>
            <w:tcBorders/>
            <w:vAlign w:val="center"/>
          </w:tcPr>
          <w:p>
            <w:pPr>
              <w:pStyle w:val="TableContents"/>
              <w:bidi w:val="0"/>
              <w:spacing w:before="0" w:after="283"/>
              <w:jc w:val="left"/>
              <w:rPr/>
            </w:pPr>
            <w:r>
              <w:rPr/>
              <w:t> </w:t>
            </w:r>
          </w:p>
        </w:tc>
      </w:tr>
      <w:tr>
        <w:trPr/>
        <w:tc>
          <w:tcPr>
            <w:tcW w:w="6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March 31,</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vAlign w:val="center"/>
          </w:tcPr>
          <w:p>
            <w:pPr>
              <w:pStyle w:val="TableContents"/>
              <w:bidi w:val="0"/>
              <w:spacing w:before="0" w:after="283"/>
              <w:jc w:val="center"/>
              <w:rPr>
                <w:b/>
              </w:rPr>
            </w:pPr>
            <w:r>
              <w:rPr>
                <w:b/>
              </w:rPr>
              <w:t>March 31,</w:t>
            </w:r>
          </w:p>
        </w:tc>
        <w:tc>
          <w:tcPr>
            <w:tcW w:w="113" w:type="dxa"/>
            <w:tcBorders/>
            <w:vAlign w:val="center"/>
          </w:tcPr>
          <w:p>
            <w:pPr>
              <w:pStyle w:val="TableContents"/>
              <w:bidi w:val="0"/>
              <w:spacing w:before="0" w:after="283"/>
              <w:jc w:val="left"/>
              <w:rPr/>
            </w:pPr>
            <w:r>
              <w:rPr/>
              <w:t> </w:t>
            </w:r>
          </w:p>
        </w:tc>
      </w:tr>
      <w:tr>
        <w:trPr/>
        <w:tc>
          <w:tcPr>
            <w:tcW w:w="6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3" w:type="dxa"/>
            <w:tcBorders/>
            <w:vAlign w:val="center"/>
          </w:tcPr>
          <w:p>
            <w:pPr>
              <w:pStyle w:val="TableContents"/>
              <w:bidi w:val="0"/>
              <w:spacing w:before="0" w:after="283"/>
              <w:jc w:val="left"/>
              <w:rPr/>
            </w:pPr>
            <w:r>
              <w:rPr/>
              <w:t> </w:t>
            </w:r>
          </w:p>
        </w:tc>
      </w:tr>
      <w:tr>
        <w:trPr/>
        <w:tc>
          <w:tcPr>
            <w:tcW w:w="6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left"/>
              <w:rPr/>
            </w:pPr>
            <w:r>
              <w:rPr/>
              <w:t> </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190" w:name="xdx_405_eus-gaap--NetCashProvidedByUsedI"/>
            <w:bookmarkEnd w:id="190"/>
          </w:p>
        </w:tc>
      </w:tr>
      <w:tr>
        <w:trPr/>
        <w:tc>
          <w:tcPr>
            <w:tcW w:w="6818"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1" w:name="xdx_401_eus-gaap--NetIncomeLoss_i01_pp0p"/>
            <w:bookmarkEnd w:id="191"/>
          </w:p>
        </w:tc>
      </w:tr>
      <w:tr>
        <w:trPr/>
        <w:tc>
          <w:tcPr>
            <w:tcW w:w="681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351" w:type="dxa"/>
            <w:tcBorders/>
            <w:shd w:fill="FFFFFF" w:val="clear"/>
            <w:vAlign w:val="center"/>
          </w:tcPr>
          <w:p>
            <w:pPr>
              <w:pStyle w:val="TableContents"/>
              <w:bidi w:val="0"/>
              <w:spacing w:before="0" w:after="283"/>
              <w:jc w:val="right"/>
              <w:rPr/>
            </w:pPr>
            <w:r>
              <w:rPr/>
              <w:t>(3,543,950</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353" w:type="dxa"/>
            <w:tcBorders/>
            <w:shd w:fill="FFFFFF" w:val="clear"/>
            <w:vAlign w:val="center"/>
          </w:tcPr>
          <w:p>
            <w:pPr>
              <w:pStyle w:val="TableContents"/>
              <w:bidi w:val="0"/>
              <w:spacing w:before="0" w:after="283"/>
              <w:jc w:val="right"/>
              <w:rPr/>
            </w:pPr>
            <w:r>
              <w:rPr/>
              <w:t>(3,748,495</w:t>
            </w:r>
          </w:p>
        </w:tc>
        <w:tc>
          <w:tcPr>
            <w:tcW w:w="113" w:type="dxa"/>
            <w:tcBorders/>
            <w:shd w:fill="FFFFFF" w:val="clear"/>
            <w:vAlign w:val="center"/>
          </w:tcPr>
          <w:p>
            <w:pPr>
              <w:pStyle w:val="TableContents"/>
              <w:bidi w:val="0"/>
              <w:spacing w:before="0" w:after="283"/>
              <w:jc w:val="left"/>
              <w:rPr/>
            </w:pPr>
            <w:r>
              <w:rPr/>
              <w:t>)</w:t>
            </w:r>
            <w:bookmarkStart w:id="192" w:name="xdx_403_eus-gaap--AdjustmentsToReconcile"/>
            <w:bookmarkEnd w:id="192"/>
          </w:p>
        </w:tc>
      </w:tr>
      <w:tr>
        <w:trPr/>
        <w:tc>
          <w:tcPr>
            <w:tcW w:w="681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3" w:name="xdx_40C_eus-gaap--ShareBasedCompensation"/>
            <w:bookmarkEnd w:id="193"/>
          </w:p>
        </w:tc>
      </w:tr>
      <w:tr>
        <w:trPr/>
        <w:tc>
          <w:tcPr>
            <w:tcW w:w="6818"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287,461</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1,941,746</w:t>
            </w:r>
          </w:p>
        </w:tc>
        <w:tc>
          <w:tcPr>
            <w:tcW w:w="113" w:type="dxa"/>
            <w:tcBorders/>
            <w:shd w:fill="FFFFFF" w:val="clear"/>
            <w:vAlign w:val="center"/>
          </w:tcPr>
          <w:p>
            <w:pPr>
              <w:pStyle w:val="TableContents"/>
              <w:bidi w:val="0"/>
              <w:spacing w:before="0" w:after="283"/>
              <w:jc w:val="left"/>
              <w:rPr/>
            </w:pPr>
            <w:r>
              <w:rPr/>
              <w:t> </w:t>
            </w:r>
            <w:bookmarkStart w:id="194" w:name="xdx_40D_eus-gaap--AmortizationOfDebtDisc"/>
            <w:bookmarkEnd w:id="194"/>
          </w:p>
        </w:tc>
      </w:tr>
      <w:tr>
        <w:trPr/>
        <w:tc>
          <w:tcPr>
            <w:tcW w:w="6818"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32,184</w:t>
            </w:r>
          </w:p>
        </w:tc>
        <w:tc>
          <w:tcPr>
            <w:tcW w:w="113" w:type="dxa"/>
            <w:tcBorders/>
            <w:shd w:fill="CCEEFF" w:val="clear"/>
            <w:vAlign w:val="center"/>
          </w:tcPr>
          <w:p>
            <w:pPr>
              <w:pStyle w:val="TableContents"/>
              <w:bidi w:val="0"/>
              <w:spacing w:before="0" w:after="283"/>
              <w:jc w:val="left"/>
              <w:rPr/>
            </w:pPr>
            <w:r>
              <w:rPr/>
              <w:t> </w:t>
            </w:r>
            <w:bookmarkStart w:id="195" w:name="xdx_403_eus-gaap--DerivativeGainLossOnDe"/>
            <w:bookmarkEnd w:id="195"/>
          </w:p>
        </w:tc>
      </w:tr>
      <w:tr>
        <w:trPr/>
        <w:tc>
          <w:tcPr>
            <w:tcW w:w="6818"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212,100</w:t>
            </w:r>
          </w:p>
        </w:tc>
        <w:tc>
          <w:tcPr>
            <w:tcW w:w="113" w:type="dxa"/>
            <w:tcBorders/>
            <w:shd w:fill="FFFFFF" w:val="clear"/>
            <w:vAlign w:val="center"/>
          </w:tcPr>
          <w:p>
            <w:pPr>
              <w:pStyle w:val="TableContents"/>
              <w:bidi w:val="0"/>
              <w:spacing w:before="0" w:after="283"/>
              <w:jc w:val="left"/>
              <w:rPr/>
            </w:pPr>
            <w:r>
              <w:rPr/>
              <w:t> </w:t>
            </w:r>
            <w:bookmarkStart w:id="196" w:name="xdx_408_eus-gaap--Depreciation_i02_pp0p0"/>
            <w:bookmarkEnd w:id="196"/>
          </w:p>
        </w:tc>
      </w:tr>
      <w:tr>
        <w:trPr/>
        <w:tc>
          <w:tcPr>
            <w:tcW w:w="6818" w:type="dxa"/>
            <w:tcBorders/>
            <w:shd w:fill="CCEEFF" w:val="clear"/>
            <w:vAlign w:val="center"/>
          </w:tcPr>
          <w:p>
            <w:pPr>
              <w:pStyle w:val="TableContents"/>
              <w:bidi w:val="0"/>
              <w:spacing w:before="0" w:after="283"/>
              <w:jc w:val="left"/>
              <w:rPr/>
            </w:pPr>
            <w:r>
              <w:rPr/>
              <w:t>Depreciation of fixed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2,600</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2,600</w:t>
            </w:r>
          </w:p>
        </w:tc>
        <w:tc>
          <w:tcPr>
            <w:tcW w:w="113" w:type="dxa"/>
            <w:tcBorders/>
            <w:shd w:fill="CCEEFF" w:val="clear"/>
            <w:vAlign w:val="center"/>
          </w:tcPr>
          <w:p>
            <w:pPr>
              <w:pStyle w:val="TableContents"/>
              <w:bidi w:val="0"/>
              <w:spacing w:before="0" w:after="283"/>
              <w:jc w:val="left"/>
              <w:rPr/>
            </w:pPr>
            <w:r>
              <w:rPr/>
              <w:t> </w:t>
            </w:r>
            <w:bookmarkStart w:id="197" w:name="xdx_405_eus-gaap--OtherNoncashExpense_i0"/>
            <w:bookmarkEnd w:id="197"/>
          </w:p>
        </w:tc>
      </w:tr>
      <w:tr>
        <w:trPr/>
        <w:tc>
          <w:tcPr>
            <w:tcW w:w="6818" w:type="dxa"/>
            <w:tcBorders/>
            <w:shd w:fill="FFFFFF" w:val="clear"/>
            <w:vAlign w:val="center"/>
          </w:tcPr>
          <w:p>
            <w:pPr>
              <w:pStyle w:val="TableContents"/>
              <w:bidi w:val="0"/>
              <w:spacing w:before="0" w:after="283"/>
              <w:jc w:val="left"/>
              <w:rPr/>
            </w:pPr>
            <w:r>
              <w:rPr/>
              <w:t>Non-cash rent expense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22,047</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20,580</w:t>
            </w:r>
          </w:p>
        </w:tc>
        <w:tc>
          <w:tcPr>
            <w:tcW w:w="113" w:type="dxa"/>
            <w:tcBorders/>
            <w:shd w:fill="FFFFFF" w:val="clear"/>
            <w:vAlign w:val="center"/>
          </w:tcPr>
          <w:p>
            <w:pPr>
              <w:pStyle w:val="TableContents"/>
              <w:bidi w:val="0"/>
              <w:spacing w:before="0" w:after="283"/>
              <w:jc w:val="left"/>
              <w:rPr/>
            </w:pPr>
            <w:r>
              <w:rPr/>
              <w:t> </w:t>
            </w:r>
            <w:bookmarkStart w:id="198" w:name="xdx_408_eus-gaap--DeferredIncomeTaxesAnd"/>
            <w:bookmarkEnd w:id="198"/>
          </w:p>
        </w:tc>
      </w:tr>
      <w:tr>
        <w:trPr/>
        <w:tc>
          <w:tcPr>
            <w:tcW w:w="6818" w:type="dxa"/>
            <w:tcBorders/>
            <w:shd w:fill="CCEEFF" w:val="clear"/>
            <w:vAlign w:val="center"/>
          </w:tcPr>
          <w:p>
            <w:pPr>
              <w:pStyle w:val="TableContents"/>
              <w:bidi w:val="0"/>
              <w:spacing w:before="0" w:after="283"/>
              <w:jc w:val="left"/>
              <w:rPr/>
            </w:pPr>
            <w:r>
              <w:rPr/>
              <w:t>Deferred tax benefit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(1,047,051</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9" w:name="xdx_404_eus-gaap--IncreaseDecreaseInOper"/>
            <w:bookmarkEnd w:id="199"/>
          </w:p>
        </w:tc>
      </w:tr>
      <w:tr>
        <w:trPr/>
        <w:tc>
          <w:tcPr>
            <w:tcW w:w="681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0" w:name="xdx_40D_eus-gaap--IncreaseDecreaseInPrep"/>
            <w:bookmarkEnd w:id="200"/>
          </w:p>
        </w:tc>
      </w:tr>
      <w:tr>
        <w:trPr/>
        <w:tc>
          <w:tcPr>
            <w:tcW w:w="6818"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(701,004</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(420,363</w:t>
            </w:r>
          </w:p>
        </w:tc>
        <w:tc>
          <w:tcPr>
            <w:tcW w:w="113" w:type="dxa"/>
            <w:tcBorders/>
            <w:shd w:fill="CCEEFF" w:val="clear"/>
            <w:vAlign w:val="center"/>
          </w:tcPr>
          <w:p>
            <w:pPr>
              <w:pStyle w:val="TableContents"/>
              <w:bidi w:val="0"/>
              <w:spacing w:before="0" w:after="283"/>
              <w:jc w:val="left"/>
              <w:rPr/>
            </w:pPr>
            <w:r>
              <w:rPr/>
              <w:t>)</w:t>
            </w:r>
            <w:bookmarkStart w:id="201" w:name="xdx_403_ecustom--IncreaseDecreaseInVendo"/>
            <w:bookmarkEnd w:id="201"/>
          </w:p>
        </w:tc>
      </w:tr>
      <w:tr>
        <w:trPr/>
        <w:tc>
          <w:tcPr>
            <w:tcW w:w="6818" w:type="dxa"/>
            <w:tcBorders/>
            <w:shd w:fill="FFFFFF" w:val="clear"/>
            <w:vAlign w:val="center"/>
          </w:tcPr>
          <w:p>
            <w:pPr>
              <w:pStyle w:val="TableContents"/>
              <w:bidi w:val="0"/>
              <w:spacing w:before="0" w:after="283"/>
              <w:jc w:val="left"/>
              <w:rPr/>
            </w:pPr>
            <w:r>
              <w:rPr/>
              <w:t>Vendor deposits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60,000</w:t>
            </w:r>
          </w:p>
        </w:tc>
        <w:tc>
          <w:tcPr>
            <w:tcW w:w="113" w:type="dxa"/>
            <w:tcBorders/>
            <w:shd w:fill="FFFFFF" w:val="clear"/>
            <w:vAlign w:val="center"/>
          </w:tcPr>
          <w:p>
            <w:pPr>
              <w:pStyle w:val="TableContents"/>
              <w:bidi w:val="0"/>
              <w:spacing w:before="0" w:after="283"/>
              <w:jc w:val="left"/>
              <w:rPr/>
            </w:pPr>
            <w:r>
              <w:rPr/>
              <w:t> </w:t>
            </w:r>
            <w:bookmarkStart w:id="202" w:name="xdx_40B_eus-gaap--IncreaseDecreaseInAcco"/>
            <w:bookmarkEnd w:id="202"/>
          </w:p>
        </w:tc>
      </w:tr>
      <w:tr>
        <w:trPr/>
        <w:tc>
          <w:tcPr>
            <w:tcW w:w="681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355,441</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1,234,577</w:t>
            </w:r>
          </w:p>
        </w:tc>
        <w:tc>
          <w:tcPr>
            <w:tcW w:w="113" w:type="dxa"/>
            <w:tcBorders/>
            <w:shd w:fill="CCEEFF" w:val="clear"/>
            <w:vAlign w:val="center"/>
          </w:tcPr>
          <w:p>
            <w:pPr>
              <w:pStyle w:val="TableContents"/>
              <w:bidi w:val="0"/>
              <w:spacing w:before="0" w:after="283"/>
              <w:jc w:val="left"/>
              <w:rPr/>
            </w:pPr>
            <w:r>
              <w:rPr/>
              <w:t> </w:t>
            </w:r>
            <w:bookmarkStart w:id="203" w:name="xdx_406_eus-gaap--IncreaseDecreaseInOper"/>
            <w:bookmarkEnd w:id="203"/>
          </w:p>
        </w:tc>
      </w:tr>
      <w:tr>
        <w:trPr/>
        <w:tc>
          <w:tcPr>
            <w:tcW w:w="6818"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(24,249</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(22,027</w:t>
            </w:r>
          </w:p>
        </w:tc>
        <w:tc>
          <w:tcPr>
            <w:tcW w:w="113" w:type="dxa"/>
            <w:tcBorders/>
            <w:shd w:fill="FFFFFF" w:val="clear"/>
            <w:vAlign w:val="center"/>
          </w:tcPr>
          <w:p>
            <w:pPr>
              <w:pStyle w:val="TableContents"/>
              <w:bidi w:val="0"/>
              <w:spacing w:before="0" w:after="283"/>
              <w:jc w:val="left"/>
              <w:rPr/>
            </w:pPr>
            <w:r>
              <w:rPr/>
              <w:t>)</w:t>
            </w:r>
            <w:bookmarkStart w:id="204" w:name="xdx_408_eus-gaap--IncreaseDecreaseInAccr"/>
            <w:bookmarkEnd w:id="204"/>
          </w:p>
        </w:tc>
      </w:tr>
      <w:tr>
        <w:trPr/>
        <w:tc>
          <w:tcPr>
            <w:tcW w:w="6818"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CCEEFF" w:val="clear"/>
            <w:tcMar>
              <w:bottom w:w="28" w:type="dxa"/>
            </w:tcMar>
            <w:vAlign w:val="center"/>
          </w:tcPr>
          <w:p>
            <w:pPr>
              <w:pStyle w:val="TableContents"/>
              <w:bidi w:val="0"/>
              <w:spacing w:before="0" w:after="283"/>
              <w:jc w:val="right"/>
              <w:rPr/>
            </w:pPr>
            <w:r>
              <w:rPr/>
              <w:t>59,253</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313,148</w:t>
            </w:r>
          </w:p>
        </w:tc>
        <w:tc>
          <w:tcPr>
            <w:tcW w:w="113" w:type="dxa"/>
            <w:tcBorders/>
            <w:shd w:fill="CCEEFF" w:val="clear"/>
            <w:vAlign w:val="center"/>
          </w:tcPr>
          <w:p>
            <w:pPr>
              <w:pStyle w:val="TableContents"/>
              <w:bidi w:val="0"/>
              <w:spacing w:before="0" w:after="283"/>
              <w:jc w:val="left"/>
              <w:rPr/>
            </w:pPr>
            <w:r>
              <w:rPr/>
              <w:t> </w:t>
            </w:r>
            <w:bookmarkStart w:id="205" w:name="xdx_40D_eus-gaap--NetCashProvidedByUsedI"/>
            <w:bookmarkEnd w:id="205"/>
          </w:p>
        </w:tc>
      </w:tr>
      <w:tr>
        <w:trPr/>
        <w:tc>
          <w:tcPr>
            <w:tcW w:w="6818"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pPr>
            <w:r>
              <w:rPr/>
              <w:t>(4,589,452</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FFFFFF" w:val="clear"/>
            <w:tcMar>
              <w:bottom w:w="28" w:type="dxa"/>
            </w:tcMar>
            <w:vAlign w:val="center"/>
          </w:tcPr>
          <w:p>
            <w:pPr>
              <w:pStyle w:val="TableContents"/>
              <w:bidi w:val="0"/>
              <w:spacing w:before="0" w:after="283"/>
              <w:jc w:val="right"/>
              <w:rPr/>
            </w:pPr>
            <w:r>
              <w:rPr/>
              <w:t>(373,950</w:t>
            </w:r>
          </w:p>
        </w:tc>
        <w:tc>
          <w:tcPr>
            <w:tcW w:w="113" w:type="dxa"/>
            <w:tcBorders/>
            <w:shd w:fill="FFFFFF" w:val="clear"/>
            <w:vAlign w:val="center"/>
          </w:tcPr>
          <w:p>
            <w:pPr>
              <w:pStyle w:val="TableContents"/>
              <w:bidi w:val="0"/>
              <w:spacing w:before="0" w:after="283"/>
              <w:jc w:val="left"/>
              <w:rPr/>
            </w:pPr>
            <w:r>
              <w:rPr/>
              <w:t>)</w:t>
            </w:r>
          </w:p>
        </w:tc>
      </w:tr>
      <w:tr>
        <w:trPr/>
        <w:tc>
          <w:tcPr>
            <w:tcW w:w="6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6" w:name="xdx_40F_eus-gaap--NetCashProvidedByUsedI"/>
            <w:bookmarkEnd w:id="206"/>
          </w:p>
        </w:tc>
      </w:tr>
      <w:tr>
        <w:trPr/>
        <w:tc>
          <w:tcPr>
            <w:tcW w:w="6818"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7" w:name="xdx_40F_eus-gaap--ProceedsFromIssuanceOf"/>
            <w:bookmarkEnd w:id="207"/>
          </w:p>
        </w:tc>
      </w:tr>
      <w:tr>
        <w:trPr/>
        <w:tc>
          <w:tcPr>
            <w:tcW w:w="6818" w:type="dxa"/>
            <w:tcBorders/>
            <w:shd w:fill="CCEEFF" w:val="clear"/>
            <w:vAlign w:val="center"/>
          </w:tcPr>
          <w:p>
            <w:pPr>
              <w:pStyle w:val="TableContents"/>
              <w:bidi w:val="0"/>
              <w:spacing w:before="0" w:after="283"/>
              <w:jc w:val="left"/>
              <w:rPr/>
            </w:pPr>
            <w:r>
              <w:rPr/>
              <w:t>Proceeds from issuance of preferred stock in private placement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419,319</w:t>
            </w:r>
          </w:p>
        </w:tc>
        <w:tc>
          <w:tcPr>
            <w:tcW w:w="113" w:type="dxa"/>
            <w:tcBorders/>
            <w:shd w:fill="CCEEFF" w:val="clear"/>
            <w:vAlign w:val="center"/>
          </w:tcPr>
          <w:p>
            <w:pPr>
              <w:pStyle w:val="TableContents"/>
              <w:bidi w:val="0"/>
              <w:spacing w:before="0" w:after="283"/>
              <w:jc w:val="left"/>
              <w:rPr/>
            </w:pPr>
            <w:r>
              <w:rPr/>
              <w:t> </w:t>
            </w:r>
            <w:bookmarkStart w:id="208" w:name="xdx_403_eus-gaap--PaymentOfFinancingAndS"/>
            <w:bookmarkEnd w:id="208"/>
          </w:p>
        </w:tc>
      </w:tr>
      <w:tr>
        <w:trPr/>
        <w:tc>
          <w:tcPr>
            <w:tcW w:w="6818" w:type="dxa"/>
            <w:tcBorders/>
            <w:shd w:fill="FFFFFF" w:val="clear"/>
            <w:vAlign w:val="center"/>
          </w:tcPr>
          <w:p>
            <w:pPr>
              <w:pStyle w:val="TableContents"/>
              <w:bidi w:val="0"/>
              <w:spacing w:before="0" w:after="283"/>
              <w:jc w:val="left"/>
              <w:rPr/>
            </w:pPr>
            <w:r>
              <w:rPr/>
              <w:t>Registration and issuance costs associated with preferred stock issuance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pPr>
            <w:r>
              <w:rPr/>
              <w:t>(34,674</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FFFFFF" w:val="clear"/>
            <w:tcMar>
              <w:bottom w:w="28" w:type="dxa"/>
            </w:tcMar>
            <w:vAlign w:val="center"/>
          </w:tcPr>
          <w:p>
            <w:pPr>
              <w:pStyle w:val="TableContents"/>
              <w:bidi w:val="0"/>
              <w:spacing w:before="0" w:after="283"/>
              <w:jc w:val="right"/>
              <w:rPr/>
            </w:pPr>
            <w:r>
              <w:rPr/>
              <w:t>(26,019</w:t>
            </w:r>
          </w:p>
        </w:tc>
        <w:tc>
          <w:tcPr>
            <w:tcW w:w="113" w:type="dxa"/>
            <w:tcBorders/>
            <w:shd w:fill="FFFFFF" w:val="clear"/>
            <w:vAlign w:val="center"/>
          </w:tcPr>
          <w:p>
            <w:pPr>
              <w:pStyle w:val="TableContents"/>
              <w:bidi w:val="0"/>
              <w:spacing w:before="0" w:after="283"/>
              <w:jc w:val="left"/>
              <w:rPr/>
            </w:pPr>
            <w:r>
              <w:rPr/>
              <w:t>)</w:t>
            </w:r>
          </w:p>
        </w:tc>
      </w:tr>
      <w:tr>
        <w:trPr/>
        <w:tc>
          <w:tcPr>
            <w:tcW w:w="6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9" w:name="xdx_402_eus-gaap--NetCashProvidedByUsedI"/>
            <w:bookmarkEnd w:id="209"/>
          </w:p>
        </w:tc>
      </w:tr>
      <w:tr>
        <w:trPr/>
        <w:tc>
          <w:tcPr>
            <w:tcW w:w="6818" w:type="dxa"/>
            <w:tcBorders/>
            <w:shd w:fill="FFFFFF" w:val="clear"/>
            <w:vAlign w:val="center"/>
          </w:tcPr>
          <w:p>
            <w:pPr>
              <w:pStyle w:val="TableContents"/>
              <w:bidi w:val="0"/>
              <w:spacing w:before="0" w:after="283"/>
              <w:jc w:val="left"/>
              <w:rPr>
                <w:b/>
              </w:rPr>
            </w:pPr>
            <w:r>
              <w:rPr>
                <w:b/>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pPr>
            <w:r>
              <w:rPr/>
              <w:t>(34,674</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FFFFFF" w:val="clear"/>
            <w:tcMar>
              <w:bottom w:w="28" w:type="dxa"/>
            </w:tcMar>
            <w:vAlign w:val="center"/>
          </w:tcPr>
          <w:p>
            <w:pPr>
              <w:pStyle w:val="TableContents"/>
              <w:bidi w:val="0"/>
              <w:spacing w:before="0" w:after="283"/>
              <w:jc w:val="right"/>
              <w:rPr/>
            </w:pPr>
            <w:r>
              <w:rPr/>
              <w:t>393,300</w:t>
            </w:r>
          </w:p>
        </w:tc>
        <w:tc>
          <w:tcPr>
            <w:tcW w:w="113" w:type="dxa"/>
            <w:tcBorders/>
            <w:shd w:fill="FFFFFF" w:val="clear"/>
            <w:vAlign w:val="center"/>
          </w:tcPr>
          <w:p>
            <w:pPr>
              <w:pStyle w:val="TableContents"/>
              <w:bidi w:val="0"/>
              <w:spacing w:before="0" w:after="283"/>
              <w:jc w:val="left"/>
              <w:rPr/>
            </w:pPr>
            <w:r>
              <w:rPr/>
              <w:t> </w:t>
            </w:r>
          </w:p>
        </w:tc>
      </w:tr>
      <w:tr>
        <w:trPr/>
        <w:tc>
          <w:tcPr>
            <w:tcW w:w="6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0" w:name="xdx_40E_eus-gaap--CashCashEquivalentsRes"/>
            <w:bookmarkEnd w:id="210"/>
          </w:p>
        </w:tc>
      </w:tr>
      <w:tr>
        <w:trPr/>
        <w:tc>
          <w:tcPr>
            <w:tcW w:w="6818" w:type="dxa"/>
            <w:tcBorders/>
            <w:shd w:fill="FFFFFF" w:val="clear"/>
            <w:vAlign w:val="center"/>
          </w:tcPr>
          <w:p>
            <w:pPr>
              <w:pStyle w:val="TableContents"/>
              <w:bidi w:val="0"/>
              <w:spacing w:before="0" w:after="283"/>
              <w:jc w:val="left"/>
              <w:rPr>
                <w:b/>
              </w:rPr>
            </w:pPr>
            <w:r>
              <w:rPr>
                <w:b/>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(4,624,126</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19,350</w:t>
            </w:r>
          </w:p>
        </w:tc>
        <w:tc>
          <w:tcPr>
            <w:tcW w:w="113" w:type="dxa"/>
            <w:tcBorders/>
            <w:shd w:fill="FFFFFF" w:val="clear"/>
            <w:vAlign w:val="center"/>
          </w:tcPr>
          <w:p>
            <w:pPr>
              <w:pStyle w:val="TableContents"/>
              <w:bidi w:val="0"/>
              <w:spacing w:before="0" w:after="283"/>
              <w:jc w:val="left"/>
              <w:rPr/>
            </w:pPr>
            <w:r>
              <w:rPr/>
              <w:t> </w:t>
            </w:r>
          </w:p>
        </w:tc>
      </w:tr>
      <w:tr>
        <w:trPr/>
        <w:tc>
          <w:tcPr>
            <w:tcW w:w="6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1" w:name="xdx_402_eus-gaap--CashCashEquivalentsRes"/>
            <w:bookmarkEnd w:id="211"/>
          </w:p>
        </w:tc>
      </w:tr>
      <w:tr>
        <w:trPr/>
        <w:tc>
          <w:tcPr>
            <w:tcW w:w="6818" w:type="dxa"/>
            <w:tcBorders/>
            <w:shd w:fill="FFFFFF" w:val="clear"/>
            <w:vAlign w:val="center"/>
          </w:tcPr>
          <w:p>
            <w:pPr>
              <w:pStyle w:val="TableContents"/>
              <w:bidi w:val="0"/>
              <w:spacing w:before="0" w:after="283"/>
              <w:jc w:val="left"/>
              <w:rPr>
                <w:b/>
              </w:rPr>
            </w:pPr>
            <w:r>
              <w:rPr>
                <w:b/>
              </w:rPr>
              <w:t>Cash - Beginning of Period</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pPr>
            <w:r>
              <w:rPr/>
              <w:t>5,902,199</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FFFFFF" w:val="clear"/>
            <w:tcMar>
              <w:bottom w:w="28" w:type="dxa"/>
            </w:tcMar>
            <w:vAlign w:val="center"/>
          </w:tcPr>
          <w:p>
            <w:pPr>
              <w:pStyle w:val="TableContents"/>
              <w:bidi w:val="0"/>
              <w:spacing w:before="0" w:after="283"/>
              <w:jc w:val="right"/>
              <w:rPr/>
            </w:pPr>
            <w:r>
              <w:rPr/>
              <w:t>328,581</w:t>
            </w:r>
          </w:p>
        </w:tc>
        <w:tc>
          <w:tcPr>
            <w:tcW w:w="113" w:type="dxa"/>
            <w:tcBorders/>
            <w:shd w:fill="FFFFFF" w:val="clear"/>
            <w:vAlign w:val="center"/>
          </w:tcPr>
          <w:p>
            <w:pPr>
              <w:pStyle w:val="TableContents"/>
              <w:bidi w:val="0"/>
              <w:spacing w:before="0" w:after="283"/>
              <w:jc w:val="left"/>
              <w:rPr/>
            </w:pPr>
            <w:r>
              <w:rPr/>
              <w:t> </w:t>
            </w:r>
          </w:p>
        </w:tc>
      </w:tr>
      <w:tr>
        <w:trPr/>
        <w:tc>
          <w:tcPr>
            <w:tcW w:w="6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2" w:name="xdx_400_eus-gaap--CashCashEquivalentsRes"/>
            <w:bookmarkEnd w:id="212"/>
          </w:p>
        </w:tc>
      </w:tr>
      <w:tr>
        <w:trPr/>
        <w:tc>
          <w:tcPr>
            <w:tcW w:w="6818" w:type="dxa"/>
            <w:tcBorders/>
            <w:shd w:fill="FFFFFF" w:val="clear"/>
            <w:vAlign w:val="center"/>
          </w:tcPr>
          <w:p>
            <w:pPr>
              <w:pStyle w:val="TableContents"/>
              <w:bidi w:val="0"/>
              <w:spacing w:before="0" w:after="283"/>
              <w:jc w:val="left"/>
              <w:rPr>
                <w:b/>
              </w:rPr>
            </w:pPr>
            <w:r>
              <w:rPr>
                <w:b/>
              </w:rPr>
              <w:t>Cash - End of Period</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1" w:type="dxa"/>
            <w:tcBorders>
              <w:bottom w:val="double" w:sz="6" w:space="0" w:color="000000"/>
            </w:tcBorders>
            <w:shd w:fill="FFFFFF" w:val="clear"/>
            <w:tcMar>
              <w:bottom w:w="28" w:type="dxa"/>
            </w:tcMar>
            <w:vAlign w:val="center"/>
          </w:tcPr>
          <w:p>
            <w:pPr>
              <w:pStyle w:val="TableContents"/>
              <w:bidi w:val="0"/>
              <w:spacing w:before="0" w:after="283"/>
              <w:jc w:val="right"/>
              <w:rPr/>
            </w:pPr>
            <w:r>
              <w:rPr/>
              <w:t>1,278,073</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347,931</w:t>
            </w:r>
          </w:p>
        </w:tc>
        <w:tc>
          <w:tcPr>
            <w:tcW w:w="113" w:type="dxa"/>
            <w:tcBorders/>
            <w:shd w:fill="FFFFFF" w:val="clear"/>
            <w:vAlign w:val="center"/>
          </w:tcPr>
          <w:p>
            <w:pPr>
              <w:pStyle w:val="TableContents"/>
              <w:bidi w:val="0"/>
              <w:spacing w:before="0" w:after="283"/>
              <w:jc w:val="left"/>
              <w:rPr/>
            </w:pPr>
            <w:r>
              <w:rPr/>
              <w:t> </w:t>
            </w:r>
          </w:p>
        </w:tc>
      </w:tr>
      <w:tr>
        <w:trPr/>
        <w:tc>
          <w:tcPr>
            <w:tcW w:w="6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3" w:name="xdx_403_eus-gaap--SupplementalCashFlowIn"/>
            <w:bookmarkEnd w:id="213"/>
          </w:p>
        </w:tc>
      </w:tr>
      <w:tr>
        <w:trPr/>
        <w:tc>
          <w:tcPr>
            <w:tcW w:w="6818"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 </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14" w:name="xdx_408_ecustom--ReclassificationOfForme"/>
            <w:bookmarkEnd w:id="214"/>
          </w:p>
        </w:tc>
      </w:tr>
      <w:tr>
        <w:trPr/>
        <w:tc>
          <w:tcPr>
            <w:tcW w:w="6818" w:type="dxa"/>
            <w:tcBorders/>
            <w:shd w:fill="CCEEFF" w:val="clear"/>
            <w:vAlign w:val="center"/>
          </w:tcPr>
          <w:p>
            <w:pPr>
              <w:pStyle w:val="TableContents"/>
              <w:bidi w:val="0"/>
              <w:spacing w:before="0" w:after="283"/>
              <w:jc w:val="left"/>
              <w:rPr/>
            </w:pPr>
            <w:r>
              <w:rPr/>
              <w:t>Reclassification of formerly redeemable common stock</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283"/>
              <w:jc w:val="right"/>
              <w:rPr/>
            </w:pPr>
            <w:r>
              <w:rPr/>
              <w:t>331,331</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15" w:name="xdx_405_eus-gaap--StockIssued1_i01_zB6fe"/>
            <w:bookmarkEnd w:id="215"/>
          </w:p>
        </w:tc>
      </w:tr>
      <w:tr>
        <w:trPr/>
        <w:tc>
          <w:tcPr>
            <w:tcW w:w="6818" w:type="dxa"/>
            <w:tcBorders/>
            <w:shd w:fill="FFFFFF" w:val="clear"/>
            <w:vAlign w:val="center"/>
          </w:tcPr>
          <w:p>
            <w:pPr>
              <w:pStyle w:val="TableContents"/>
              <w:bidi w:val="0"/>
              <w:spacing w:before="0" w:after="283"/>
              <w:jc w:val="left"/>
              <w:rPr/>
            </w:pPr>
            <w:r>
              <w:rPr/>
              <w:t>Issuance of common stock pursuant to vendor agreements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1" w:type="dxa"/>
            <w:tcBorders>
              <w:bottom w:val="double" w:sz="6" w:space="0" w:color="000000"/>
            </w:tcBorders>
            <w:shd w:fill="FFFFFF" w:val="clear"/>
            <w:tcMar>
              <w:bottom w:w="28" w:type="dxa"/>
            </w:tcMar>
            <w:vAlign w:val="center"/>
          </w:tcPr>
          <w:p>
            <w:pPr>
              <w:pStyle w:val="TableContents"/>
              <w:bidi w:val="0"/>
              <w:spacing w:before="0" w:after="283"/>
              <w:jc w:val="right"/>
              <w:rPr/>
            </w:pPr>
            <w:r>
              <w:rPr/>
              <w:t>395,200</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16" w:name="xdx_40C_ecustom--RecognitionOfRouAssetAn"/>
            <w:bookmarkEnd w:id="216"/>
          </w:p>
        </w:tc>
      </w:tr>
      <w:tr>
        <w:trPr/>
        <w:tc>
          <w:tcPr>
            <w:tcW w:w="6818" w:type="dxa"/>
            <w:tcBorders/>
            <w:shd w:fill="CCEEFF" w:val="clear"/>
            <w:vAlign w:val="center"/>
          </w:tcPr>
          <w:p>
            <w:pPr>
              <w:pStyle w:val="TableContents"/>
              <w:bidi w:val="0"/>
              <w:spacing w:before="0" w:after="283"/>
              <w:jc w:val="left"/>
              <w:rPr/>
            </w:pPr>
            <w:r>
              <w:rPr/>
              <w:t>Recognition of ROU asset and lease liability upon adoption of ASC 842</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182,732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7" w:name="A_007"/>
      <w:bookmarkEnd w:id="217"/>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 w:name="xdx_804_eus-gaap--OrganizationConsolidat"/>
      <w:bookmarkEnd w:id="218"/>
      <w:r>
        <w:rPr>
          <w:rFonts w:ascii="Times New Roman;Times;Serif" w:hAnsi="Times New Roman;Times;Serif"/>
          <w:b/>
          <w:i w:val="false"/>
          <w:caps w:val="false"/>
          <w:smallCaps w:val="false"/>
          <w:sz w:val="20"/>
        </w:rPr>
        <w:t xml:space="preserve">Note 1 – </w:t>
      </w:r>
      <w:bookmarkStart w:id="219" w:name="xdx_822_zA1qIDuScl2g"/>
      <w:bookmarkEnd w:id="219"/>
      <w:r>
        <w:rPr>
          <w:rFonts w:ascii="Times New Roman;Times;Serif" w:hAnsi="Times New Roman;Times;Serif"/>
          <w:b/>
          <w:i w:val="false"/>
          <w:caps w:val="false"/>
          <w:smallCaps w:val="false"/>
          <w:sz w:val="20"/>
        </w:rPr>
        <w:t>Business Organization, Nature of Operations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Larkspur Health Acquisition Corp. (“Larkspur”), a blank-check special purpose acquisition company, was incorporated in Delaware on March 17, 2021. On December 12, 2022, Larkspur consummated the Business Combination (as defined below) with ZyVersa Therapeutics, Inc. (“Predecessor”) which was incorporated in the State of Florida on March 11, 2014 as Variant Pharmaceuticals, Inc. Pursuant to the terms of the Business Combination Agreement (the “Business Combination Agreement”) (and upon all other conditions of the Business Combination Agreement being satisfied or waived), on the date of the consummation (the “Closing Date”) of the Business Combination and transactions contemplated thereby (the “Business Combination”), Larkspur (“New Parent”) changed its name to ZyVersa Therapeutics, Inc. and the Predecessor changed its name to ZyVersa Therapeutics Operating, Inc. (the “Operating Company”) after merging with a subsidiary of the New Parent, with the Operating Company being the surviving entity, which resulted in it being incorporated in Delaware and it being a wholly-owned subsidiary of the New Parent (collectively the “Successor”). References to the “Company” or “ZyVersa” refer to the Successor for the three months ended March 31, 2023, and to the Predecessor for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generally accepted accounting principles in the United States of America (“U.S.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March 31, 2023 and for the three months ended March 31, 2023 and 2022. The results of operations for the three months ended March 31, 2023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2022, filed with the Securities and Exchange Commission (“SEC”) on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derived from the accounting records of the Company and its consolidated subsidiaries. As a result of the Business Combination, for accounting purposes, Larkspur Health Acquisition Corp. was the acquirer and ZyVersa Therapeutics, Inc. was the acquiree and accounting predecessor. Therefore, the financial statement presentation includes the financial statements of the Predecessor for the periods prior to December 13, 2022 and the Successor for the periods including and after December 13, 2022, including the consolidation of ZyVersa Therapeutics Operating, Inc. All significant intercompany balances have been eliminated in the unaudited condensed consolidated financial statements. The unaudited condensed consolidated financial statements have been prepared in accordance with U.S. GAAP and pursuant to the accounting rules and regulations of the SEC.</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0" w:name="xdx_802_eus-gaap--SubstantialDoubtAboutG"/>
      <w:bookmarkEnd w:id="220"/>
      <w:r>
        <w:rPr>
          <w:rFonts w:ascii="Times New Roman;Times;Serif" w:hAnsi="Times New Roman;Times;Serif"/>
          <w:b/>
          <w:i w:val="false"/>
          <w:caps w:val="false"/>
          <w:smallCaps w:val="false"/>
          <w:sz w:val="20"/>
        </w:rPr>
        <w:t xml:space="preserve">Note 2 - </w:t>
      </w:r>
      <w:bookmarkStart w:id="221" w:name="xdx_82C_zE5QcRReVh9i"/>
      <w:bookmarkEnd w:id="221"/>
      <w:r>
        <w:rPr>
          <w:rFonts w:ascii="Times New Roman;Times;Serif" w:hAnsi="Times New Roman;Times;Serif"/>
          <w:b/>
          <w:i w:val="false"/>
          <w:caps w:val="false"/>
          <w:smallCaps w:val="false"/>
          <w:sz w:val="20"/>
        </w:rPr>
        <w:t>Going Concern and Management’s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Company had cash of approximately $</w:t>
      </w:r>
      <w:bookmarkStart w:id="222" w:name="xdx_907_eus-gaap--Cash_iI_pn5n6_c2023033"/>
      <w:bookmarkEnd w:id="222"/>
      <w:r>
        <w:rPr>
          <w:rFonts w:ascii="Times New Roman;Times;Serif" w:hAnsi="Times New Roman;Times;Serif"/>
          <w:b w:val="false"/>
          <w:i w:val="false"/>
          <w:caps w:val="false"/>
          <w:smallCaps w:val="false"/>
          <w:sz w:val="20"/>
        </w:rPr>
        <w:t>1.3 million and a working capital deficit of approximately $</w:t>
      </w:r>
      <w:bookmarkStart w:id="223" w:name="xdx_905_ecustom--WorkingCapitalDeficit_i"/>
      <w:bookmarkEnd w:id="223"/>
      <w:r>
        <w:rPr>
          <w:rFonts w:ascii="Times New Roman;Times;Serif" w:hAnsi="Times New Roman;Times;Serif"/>
          <w:b w:val="false"/>
          <w:i w:val="false"/>
          <w:caps w:val="false"/>
          <w:smallCaps w:val="false"/>
          <w:sz w:val="20"/>
        </w:rPr>
        <w:t>5.7 million. During the three months ended March 31, 2023, the Company incurred a net loss of approximately $</w:t>
      </w:r>
      <w:bookmarkStart w:id="224" w:name="xdx_907_eus-gaap--NetIncomeLoss_iN_pn5n6"/>
      <w:bookmarkEnd w:id="224"/>
      <w:r>
        <w:rPr>
          <w:rFonts w:ascii="Times New Roman;Times;Serif" w:hAnsi="Times New Roman;Times;Serif"/>
          <w:b w:val="false"/>
          <w:i w:val="false"/>
          <w:caps w:val="false"/>
          <w:smallCaps w:val="false"/>
          <w:sz w:val="20"/>
        </w:rPr>
        <w:t>3.5 million and used cash in operations of approximately $</w:t>
      </w:r>
      <w:bookmarkStart w:id="225" w:name="xdx_90A_eus-gaap--NetCashProvidedByUsedI"/>
      <w:bookmarkEnd w:id="225"/>
      <w:r>
        <w:rPr>
          <w:rFonts w:ascii="Times New Roman;Times;Serif" w:hAnsi="Times New Roman;Times;Serif"/>
          <w:b w:val="false"/>
          <w:i w:val="false"/>
          <w:caps w:val="false"/>
          <w:smallCaps w:val="false"/>
          <w:sz w:val="20"/>
        </w:rPr>
        <w:t>4.6 million. The Company has an accumulated deficit of approximately $</w:t>
      </w:r>
      <w:bookmarkStart w:id="226" w:name="xdx_904_eus-gaap--RetainedEarningsAccumu"/>
      <w:bookmarkEnd w:id="226"/>
      <w:r>
        <w:rPr>
          <w:rFonts w:ascii="Times New Roman;Times;Serif" w:hAnsi="Times New Roman;Times;Serif"/>
          <w:b w:val="false"/>
          <w:i w:val="false"/>
          <w:caps w:val="false"/>
          <w:smallCaps w:val="false"/>
          <w:sz w:val="20"/>
        </w:rPr>
        <w:t>8.5 million as of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will be required to raise additional funds through equity or debt financing. Management believes that the Company has access to capital resources and continues to evaluate additional financing opportunities; however, and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7" w:name="xdx_805_eus-gaap--SignificantAccountingP"/>
      <w:bookmarkEnd w:id="227"/>
      <w:r>
        <w:rPr>
          <w:rFonts w:ascii="Times New Roman;Times;Serif" w:hAnsi="Times New Roman;Times;Serif"/>
          <w:b/>
          <w:i w:val="false"/>
          <w:caps w:val="false"/>
          <w:smallCaps w:val="false"/>
          <w:sz w:val="20"/>
        </w:rPr>
        <w:t xml:space="preserve">Note 3 – </w:t>
      </w:r>
      <w:bookmarkStart w:id="228" w:name="xdx_829_zPEw32Dnk4k1"/>
      <w:bookmarkEnd w:id="22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the Company’s December 31, 2022 financial statements were issued in its 2022 Annual Report on Form 10-K, there have been no material changes to the Company’s significant accounting policies.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9" w:name="xdx_867_zN1GXSydjOZ8"/>
      <w:bookmarkStart w:id="230" w:name="xdx_84F_eus-gaap--UseOfEstimates_zZeRcqq"/>
      <w:bookmarkEnd w:id="229"/>
      <w:bookmarkEnd w:id="230"/>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derivative liabilities,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1" w:name="xdx_86B_zDrpqQZr7Iq"/>
      <w:bookmarkStart w:id="232" w:name="xdx_849_eus-gaap--EarningsPerSharePolicy"/>
      <w:bookmarkEnd w:id="231"/>
      <w:bookmarkEnd w:id="232"/>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3" w:name="xdx_897_eus-gaap--ScheduleOfAntidilutive"/>
      <w:bookmarkEnd w:id="233"/>
      <w:r>
        <w:rPr>
          <w:rFonts w:ascii="Times New Roman;Times;Serif" w:hAnsi="Times New Roman;Times;Serif"/>
          <w:b w:val="false"/>
          <w:i w:val="false"/>
          <w:caps w:val="false"/>
          <w:smallCaps w:val="false"/>
          <w:sz w:val="20"/>
        </w:rPr>
        <w:t>The following table sets forth the outstanding potentially dilutive securities that have been excluded from the calculation of diluted net loss per share because to do so would be anti-dilutive:</w:t>
      </w:r>
    </w:p>
    <w:p>
      <w:pPr>
        <w:pStyle w:val="TextBody"/>
        <w:bidi w:val="0"/>
        <w:spacing w:before="0" w:after="0"/>
        <w:ind w:left="0" w:right="0" w:hanging="0"/>
        <w:jc w:val="both"/>
        <w:rPr>
          <w:caps w:val="false"/>
          <w:smallCaps w:val="false"/>
        </w:rPr>
      </w:pPr>
      <w:r>
        <w:rPr>
          <w:caps w:val="false"/>
          <w:smallCaps w:val="false"/>
        </w:rPr>
        <w:t> </w:t>
      </w:r>
      <w:bookmarkStart w:id="234" w:name="xdx_8BE_zLZ4rzpft6a1"/>
      <w:bookmarkEnd w:id="234"/>
      <w:r>
        <w:rPr>
          <w:rFonts w:ascii="Times New Roman;Times;Serif" w:hAnsi="Times New Roman;Times;Serif"/>
          <w:b w:val="false"/>
          <w:i w:val="false"/>
          <w:caps w:val="false"/>
          <w:smallCaps w:val="false"/>
          <w:sz w:val="20"/>
        </w:rPr>
        <w:t>Schedule of Anti-dilutive Securities Excluded from Calculation of Diluted Net Loss Per Share</w:t>
      </w:r>
    </w:p>
    <w:tbl>
      <w:tblPr>
        <w:tblW w:w="9438" w:type="dxa"/>
        <w:jc w:val="left"/>
        <w:tblInd w:w="0" w:type="dxa"/>
        <w:tblLayout w:type="fixed"/>
        <w:tblCellMar>
          <w:top w:w="0" w:type="dxa"/>
          <w:left w:w="0" w:type="dxa"/>
          <w:bottom w:w="0" w:type="dxa"/>
          <w:right w:w="0" w:type="dxa"/>
        </w:tblCellMar>
      </w:tblPr>
      <w:tblGrid>
        <w:gridCol w:w="5930"/>
        <w:gridCol w:w="60"/>
        <w:gridCol w:w="78"/>
        <w:gridCol w:w="1456"/>
        <w:gridCol w:w="245"/>
        <w:gridCol w:w="60"/>
        <w:gridCol w:w="77"/>
        <w:gridCol w:w="1457"/>
        <w:gridCol w:w="75"/>
      </w:tblGrid>
      <w:tr>
        <w:trPr/>
        <w:tc>
          <w:tcPr>
            <w:tcW w:w="5930" w:type="dxa"/>
            <w:tcBorders/>
            <w:vAlign w:val="center"/>
          </w:tcPr>
          <w:p>
            <w:pPr>
              <w:pStyle w:val="TableContents"/>
              <w:bidi w:val="0"/>
              <w:spacing w:before="0" w:after="283"/>
              <w:jc w:val="left"/>
              <w:rPr/>
            </w:pPr>
            <w:r>
              <w:rPr/>
              <w:t>FinancialDesignationPredecessorAndSuccessorFixedList</w:t>
            </w:r>
          </w:p>
        </w:tc>
        <w:tc>
          <w:tcPr>
            <w:tcW w:w="60" w:type="dxa"/>
            <w:tcBorders/>
            <w:vAlign w:val="center"/>
          </w:tcPr>
          <w:p>
            <w:pPr>
              <w:pStyle w:val="TableContents"/>
              <w:bidi w:val="0"/>
              <w:spacing w:before="0" w:after="283"/>
              <w:jc w:val="left"/>
              <w:rPr/>
            </w:pPr>
            <w:r>
              <w:rPr/>
              <w:t> </w:t>
            </w:r>
            <w:bookmarkStart w:id="235" w:name="xdx_498_20230101__20230331_zeGnCtTopywe"/>
            <w:bookmarkEnd w:id="235"/>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6" w:name="xdx_494_20220101__20220331__us-gaap--Fre"/>
            <w:bookmarkEnd w:id="236"/>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237" w:name="xdx_403_eus-gaap--FinancialDesignationPr"/>
            <w:bookmarkEnd w:id="237"/>
          </w:p>
        </w:tc>
      </w:tr>
      <w:tr>
        <w:trPr/>
        <w:tc>
          <w:tcPr>
            <w:tcW w:w="5930" w:type="dxa"/>
            <w:tcBorders/>
            <w:vAlign w:val="center"/>
          </w:tcPr>
          <w:p>
            <w:pPr>
              <w:pStyle w:val="TableContents"/>
              <w:bidi w:val="0"/>
              <w:spacing w:before="0" w:after="283"/>
              <w:jc w:val="left"/>
              <w:rPr/>
            </w:pPr>
            <w:r>
              <w:rPr/>
              <w:t>Financial Designation, Predecessor and Successor [Fixed List]</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238" w:name="xdx_40E_eus-gaap--AntidilutiveSecurities"/>
            <w:bookmarkEnd w:id="238"/>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Predecessor warrants </w:t>
            </w:r>
            <w:bookmarkStart w:id="239" w:name="xdx_F41_zh1XxWi1msQb"/>
            <w:bookmarkEnd w:id="239"/>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240" w:name="xdx_98D_eus-gaap--AntidilutiveSecurities"/>
            <w:bookmarkEnd w:id="240"/>
          </w:p>
        </w:tc>
        <w:tc>
          <w:tcPr>
            <w:tcW w:w="1456"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2,154,352</w:t>
            </w:r>
          </w:p>
        </w:tc>
        <w:tc>
          <w:tcPr>
            <w:tcW w:w="75"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Successor warrants </w:t>
            </w:r>
            <w:bookmarkStart w:id="241" w:name="xdx_F4A_zGnYk7T7wFhe"/>
            <w:bookmarkEnd w:id="241"/>
            <w:r>
              <w:rPr>
                <w:rFonts w:ascii="Times New Roman;Times;Serif" w:hAnsi="Times New Roman;Times;Serif"/>
                <w:sz w:val="20"/>
              </w:rPr>
              <w:t>[1] [5]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242" w:name="xdx_98F_eus-gaap--AntidilutiveSecurities"/>
            <w:bookmarkEnd w:id="242"/>
          </w:p>
        </w:tc>
        <w:tc>
          <w:tcPr>
            <w:tcW w:w="1456" w:type="dxa"/>
            <w:tcBorders/>
            <w:shd w:fill="FFFFFF" w:val="clear"/>
            <w:vAlign w:val="center"/>
          </w:tcPr>
          <w:p>
            <w:pPr>
              <w:pStyle w:val="TableContents"/>
              <w:bidi w:val="0"/>
              <w:spacing w:before="0" w:after="283"/>
              <w:jc w:val="right"/>
              <w:rPr/>
            </w:pPr>
            <w:r>
              <w:rPr/>
              <w:t>8,628,695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243" w:name="xdx_985_eus-gaap--AntidilutiveSecurities"/>
            <w:bookmarkEnd w:id="243"/>
          </w:p>
        </w:tc>
        <w:tc>
          <w:tcPr>
            <w:tcW w:w="145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44" w:name="xdx_406_eus-gaap--AntidilutiveSecurities"/>
            <w:bookmarkEnd w:id="244"/>
          </w:p>
        </w:tc>
      </w:tr>
      <w:tr>
        <w:trPr/>
        <w:tc>
          <w:tcPr>
            <w:tcW w:w="5930" w:type="dxa"/>
            <w:tcBorders/>
            <w:shd w:fill="CCEEFF" w:val="clear"/>
            <w:vAlign w:val="center"/>
          </w:tcPr>
          <w:p>
            <w:pPr>
              <w:pStyle w:val="TableContents"/>
              <w:bidi w:val="0"/>
              <w:spacing w:before="0" w:after="283"/>
              <w:jc w:val="left"/>
              <w:rPr/>
            </w:pPr>
            <w:r>
              <w:rPr/>
              <w:t>Predecessor options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9,947,968</w:t>
            </w:r>
          </w:p>
        </w:tc>
        <w:tc>
          <w:tcPr>
            <w:tcW w:w="75" w:type="dxa"/>
            <w:tcBorders/>
            <w:shd w:fill="CCEEFF" w:val="clear"/>
            <w:vAlign w:val="center"/>
          </w:tcPr>
          <w:p>
            <w:pPr>
              <w:pStyle w:val="TableContents"/>
              <w:bidi w:val="0"/>
              <w:spacing w:before="0" w:after="283"/>
              <w:jc w:val="left"/>
              <w:rPr/>
            </w:pPr>
            <w:r>
              <w:rPr/>
              <w:t> </w:t>
            </w:r>
            <w:bookmarkStart w:id="245" w:name="xdx_407_eus-gaap--AntidilutiveSecurities"/>
            <w:bookmarkEnd w:id="245"/>
          </w:p>
        </w:tc>
      </w:tr>
      <w:tr>
        <w:trPr/>
        <w:tc>
          <w:tcPr>
            <w:tcW w:w="5930" w:type="dxa"/>
            <w:tcBorders/>
            <w:shd w:fill="FFFFFF" w:val="clear"/>
            <w:vAlign w:val="center"/>
          </w:tcPr>
          <w:p>
            <w:pPr>
              <w:pStyle w:val="TableContents"/>
              <w:bidi w:val="0"/>
              <w:spacing w:before="0" w:after="283"/>
              <w:jc w:val="left"/>
              <w:rPr/>
            </w:pPr>
            <w:r>
              <w:rPr/>
              <w:t>Successor options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pPr>
            <w:r>
              <w:rPr/>
              <w:t>2,106,235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46" w:name="xdx_406_eus-gaap--AntidilutiveSecurities"/>
            <w:bookmarkEnd w:id="246"/>
          </w:p>
        </w:tc>
      </w:tr>
      <w:tr>
        <w:trPr/>
        <w:tc>
          <w:tcPr>
            <w:tcW w:w="5930" w:type="dxa"/>
            <w:tcBorders/>
            <w:shd w:fill="CCEEFF" w:val="clear"/>
            <w:vAlign w:val="center"/>
          </w:tcPr>
          <w:p>
            <w:pPr>
              <w:pStyle w:val="TableContents"/>
              <w:bidi w:val="0"/>
              <w:spacing w:before="0" w:after="283"/>
              <w:jc w:val="left"/>
              <w:rPr/>
            </w:pPr>
            <w:r>
              <w:rPr/>
              <w:t>Successor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247" w:name="xdx_98B_eus-gaap--AntidilutiveSecurities"/>
            <w:bookmarkEnd w:id="247"/>
          </w:p>
        </w:tc>
        <w:tc>
          <w:tcPr>
            <w:tcW w:w="1456" w:type="dxa"/>
            <w:tcBorders/>
            <w:shd w:fill="CCEEFF" w:val="clear"/>
            <w:vAlign w:val="center"/>
          </w:tcPr>
          <w:p>
            <w:pPr>
              <w:pStyle w:val="TableContents"/>
              <w:bidi w:val="0"/>
              <w:spacing w:before="0" w:after="283"/>
              <w:jc w:val="right"/>
              <w:rPr/>
            </w:pPr>
            <w:r>
              <w:rPr/>
              <w:t>863,500</w:t>
            </w:r>
          </w:p>
        </w:tc>
        <w:tc>
          <w:tcPr>
            <w:tcW w:w="245" w:type="dxa"/>
            <w:tcBorders/>
            <w:shd w:fill="CCEEFF" w:val="cle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48" w:name="xdx_40D_eus-gaap--AntidilutiveSecurities"/>
            <w:bookmarkEnd w:id="248"/>
          </w:p>
        </w:tc>
      </w:tr>
      <w:tr>
        <w:trPr/>
        <w:tc>
          <w:tcPr>
            <w:tcW w:w="5930" w:type="dxa"/>
            <w:tcBorders/>
            <w:shd w:fill="FFFFFF" w:val="clear"/>
            <w:vAlign w:val="center"/>
          </w:tcPr>
          <w:p>
            <w:pPr>
              <w:pStyle w:val="TableContents"/>
              <w:bidi w:val="0"/>
              <w:spacing w:before="0" w:after="283"/>
              <w:jc w:val="left"/>
              <w:rPr/>
            </w:pPr>
            <w:r>
              <w:rPr/>
              <w:t>Successor Series B Convertible Preferred Stock</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249" w:name="xdx_98B_eus-gaap--AntidilutiveSecurities"/>
            <w:bookmarkEnd w:id="249"/>
          </w:p>
        </w:tc>
        <w:tc>
          <w:tcPr>
            <w:tcW w:w="1456" w:type="dxa"/>
            <w:tcBorders/>
            <w:shd w:fill="FFFFFF" w:val="clear"/>
            <w:vAlign w:val="center"/>
          </w:tcPr>
          <w:p>
            <w:pPr>
              <w:pStyle w:val="TableContents"/>
              <w:bidi w:val="0"/>
              <w:spacing w:before="0" w:after="283"/>
              <w:jc w:val="right"/>
              <w:rPr/>
            </w:pPr>
            <w:r>
              <w:rPr/>
              <w:t>506,264</w:t>
            </w:r>
          </w:p>
        </w:tc>
        <w:tc>
          <w:tcPr>
            <w:tcW w:w="245"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50" w:name="xdx_406_eus-gaap--AntidilutiveSecurities"/>
            <w:bookmarkEnd w:id="250"/>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Predecessor convertible notes payable </w:t>
            </w:r>
            <w:bookmarkStart w:id="251" w:name="xdx_F4C_z74fyQ61aYS"/>
            <w:bookmarkEnd w:id="251"/>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7" w:type="dxa"/>
            <w:tcBorders>
              <w:bottom w:val="single" w:sz="12" w:space="0" w:color="000000"/>
            </w:tcBorders>
            <w:shd w:fill="CCEEFF" w:val="clear"/>
            <w:tcMar>
              <w:bottom w:w="28" w:type="dxa"/>
            </w:tcMar>
            <w:vAlign w:val="center"/>
          </w:tcPr>
          <w:p>
            <w:pPr>
              <w:pStyle w:val="TableContents"/>
              <w:bidi w:val="0"/>
              <w:spacing w:before="0" w:after="283"/>
              <w:jc w:val="right"/>
              <w:rPr/>
            </w:pPr>
            <w:r>
              <w:rPr/>
              <w:t>3,726,571</w:t>
            </w:r>
          </w:p>
        </w:tc>
        <w:tc>
          <w:tcPr>
            <w:tcW w:w="75" w:type="dxa"/>
            <w:tcBorders/>
            <w:shd w:fill="CCEEFF" w:val="clear"/>
            <w:vAlign w:val="center"/>
          </w:tcPr>
          <w:p>
            <w:pPr>
              <w:pStyle w:val="TableContents"/>
              <w:bidi w:val="0"/>
              <w:spacing w:before="0" w:after="283"/>
              <w:jc w:val="left"/>
              <w:rPr/>
            </w:pPr>
            <w:r>
              <w:rPr/>
              <w:t> </w:t>
            </w:r>
            <w:bookmarkStart w:id="252" w:name="xdx_401_eus-gaap--AntidilutiveSecurities"/>
            <w:bookmarkEnd w:id="252"/>
          </w:p>
        </w:tc>
      </w:tr>
      <w:tr>
        <w:trPr/>
        <w:tc>
          <w:tcPr>
            <w:tcW w:w="5930" w:type="dxa"/>
            <w:tcBorders/>
            <w:shd w:fill="FFFFFF" w:val="clear"/>
            <w:vAlign w:val="center"/>
          </w:tcPr>
          <w:p>
            <w:pPr>
              <w:pStyle w:val="TableContents"/>
              <w:bidi w:val="0"/>
              <w:spacing w:before="0" w:after="283"/>
              <w:jc w:val="left"/>
              <w:rPr/>
            </w:pPr>
            <w:r>
              <w:rPr/>
              <w:t>Total potentially dilutive shares</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6" w:type="dxa"/>
            <w:tcBorders>
              <w:bottom w:val="double" w:sz="6" w:space="0" w:color="000000"/>
            </w:tcBorders>
            <w:shd w:fill="FFFFFF" w:val="clear"/>
            <w:tcMar>
              <w:bottom w:w="28" w:type="dxa"/>
            </w:tcMar>
            <w:vAlign w:val="center"/>
          </w:tcPr>
          <w:p>
            <w:pPr>
              <w:pStyle w:val="TableContents"/>
              <w:bidi w:val="0"/>
              <w:spacing w:before="0" w:after="283"/>
              <w:jc w:val="right"/>
              <w:rPr/>
            </w:pPr>
            <w:r>
              <w:rPr/>
              <w:t>12,104,694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7" w:type="dxa"/>
            <w:tcBorders>
              <w:bottom w:val="double" w:sz="6" w:space="0" w:color="000000"/>
            </w:tcBorders>
            <w:shd w:fill="FFFFFF" w:val="clear"/>
            <w:tcMar>
              <w:bottom w:w="28" w:type="dxa"/>
            </w:tcMar>
            <w:vAlign w:val="center"/>
          </w:tcPr>
          <w:p>
            <w:pPr>
              <w:pStyle w:val="TableContents"/>
              <w:bidi w:val="0"/>
              <w:spacing w:before="0" w:after="283"/>
              <w:jc w:val="right"/>
              <w:rPr/>
            </w:pPr>
            <w:r>
              <w:rPr/>
              <w:t>15,828,891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23"/>
        <w:gridCol w:w="9963"/>
      </w:tblGrid>
      <w:tr>
        <w:trPr/>
        <w:tc>
          <w:tcPr>
            <w:tcW w:w="2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53" w:name="xdx_F09_z3MZiHvbwgNj"/>
            <w:bookmarkEnd w:id="253"/>
            <w:r>
              <w:rPr>
                <w:rFonts w:ascii="Times New Roman;Times;Serif" w:hAnsi="Times New Roman;Times;Serif"/>
                <w:b w:val="false"/>
                <w:i w:val="false"/>
                <w:caps w:val="false"/>
                <w:smallCaps w:val="false"/>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54" w:name="xdx_F1A_zDJADgvNG5zg"/>
            <w:bookmarkEnd w:id="254"/>
            <w:r>
              <w:rPr>
                <w:rFonts w:ascii="Times New Roman;Times;Serif" w:hAnsi="Times New Roman;Times;Serif"/>
                <w:b w:val="false"/>
                <w:i w:val="false"/>
                <w:caps w:val="false"/>
                <w:smallCaps w:val="false"/>
                <w:sz w:val="20"/>
              </w:rPr>
              <w:t xml:space="preserve">As part of the InflamaCORE, LLC license agreement, warrants to purchase </w:t>
            </w:r>
            <w:bookmarkStart w:id="255" w:name="xdx_90F_eus-gaap--ClassOfWarrantOrRightN"/>
            <w:bookmarkEnd w:id="255"/>
            <w:r>
              <w:rPr>
                <w:rFonts w:ascii="Times New Roman;Times;Serif" w:hAnsi="Times New Roman;Times;Serif"/>
                <w:b w:val="false"/>
                <w:i w:val="false"/>
                <w:caps w:val="false"/>
                <w:smallCaps w:val="false"/>
                <w:sz w:val="20"/>
              </w:rPr>
              <w:t xml:space="preserve">600,000 Predecessor or </w:t>
            </w:r>
            <w:bookmarkStart w:id="256" w:name="xdx_90C_eus-gaap--ClassOfWarrantOrRightN"/>
            <w:bookmarkEnd w:id="256"/>
            <w:r>
              <w:rPr>
                <w:rFonts w:ascii="Times New Roman;Times;Serif" w:hAnsi="Times New Roman;Times;Serif"/>
                <w:b w:val="false"/>
                <w:i w:val="false"/>
                <w:caps w:val="false"/>
                <w:smallCaps w:val="false"/>
                <w:sz w:val="20"/>
              </w:rPr>
              <w:t xml:space="preserve">119,125 </w:t>
            </w:r>
            <w:bookmarkStart w:id="257" w:name="xdx_902_eus-gaap--FinancialDesignationPr"/>
            <w:bookmarkEnd w:id="257"/>
            <w:r>
              <w:rPr>
                <w:rFonts w:ascii="Times New Roman;Times;Serif" w:hAnsi="Times New Roman;Times;Serif"/>
                <w:b w:val="false"/>
                <w:i w:val="false"/>
                <w:caps w:val="false"/>
                <w:smallCaps w:val="false"/>
                <w:sz w:val="20"/>
              </w:rPr>
              <w:t>Successor shares of common stock are to be issued upon the satisfaction of certain milestones and, accordingly, are not included in the amount currently reported. See Note 7 - Commitments and Contingencies - License Agreements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23"/>
        <w:gridCol w:w="9971"/>
      </w:tblGrid>
      <w:tr>
        <w:trPr/>
        <w:tc>
          <w:tcPr>
            <w:tcW w:w="211" w:type="dxa"/>
            <w:tcBorders/>
            <w:vAlign w:val="center"/>
          </w:tcPr>
          <w:p>
            <w:pPr>
              <w:pStyle w:val="TableContents"/>
              <w:bidi w:val="0"/>
              <w:spacing w:before="0" w:after="283"/>
              <w:jc w:val="right"/>
              <w:rPr>
                <w:rFonts w:ascii="Times New Roman;Times;Serif" w:hAnsi="Times New Roman;Times;Serif"/>
                <w:sz w:val="20"/>
              </w:rPr>
            </w:pPr>
            <w:bookmarkStart w:id="258" w:name="xdx_F0F_zxvWuEhhwcei"/>
            <w:bookmarkEnd w:id="258"/>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71" w:type="dxa"/>
            <w:tcBorders/>
            <w:vAlign w:val="center"/>
          </w:tcPr>
          <w:p>
            <w:pPr>
              <w:pStyle w:val="TableContents"/>
              <w:bidi w:val="0"/>
              <w:spacing w:before="0" w:after="283"/>
              <w:jc w:val="both"/>
              <w:rPr>
                <w:rFonts w:ascii="Times New Roman;Times;Serif" w:hAnsi="Times New Roman;Times;Serif"/>
                <w:sz w:val="20"/>
              </w:rPr>
            </w:pPr>
            <w:bookmarkStart w:id="259" w:name="xdx_F10_zM26AGyV0ucd"/>
            <w:bookmarkEnd w:id="259"/>
            <w:r>
              <w:rPr>
                <w:rFonts w:ascii="Times New Roman;Times;Serif" w:hAnsi="Times New Roman;Times;Serif"/>
                <w:sz w:val="20"/>
              </w:rPr>
              <w:t>The Company’s convertible notes payable have embedded conversion options that result in the automatic issuance of common stock upon the consummation of certain qualifying transactions. The conversion price is a function of the implied common stock price associated with the qualifying transaction. For the purpose of disclosing the potentially dilutive securities in the table above, we used the number of shares of common stock issuable if a qualifying transaction occurred with an implied common stock price equal to the fair value of the common stock of $</w:t>
            </w:r>
            <w:bookmarkStart w:id="260" w:name="xdx_90B_eus-gaap--SharesIssuedPricePerSh"/>
            <w:bookmarkEnd w:id="260"/>
            <w:r>
              <w:rPr>
                <w:rFonts w:ascii="Times New Roman;Times;Serif" w:hAnsi="Times New Roman;Times;Serif"/>
                <w:sz w:val="20"/>
              </w:rPr>
              <w:t>3.00 per share as of March 31, 2022.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rFonts w:ascii="Times New Roman;Times;Serif" w:hAnsi="Times New Roman;Times;Serif"/>
                <w:sz w:val="20"/>
              </w:rPr>
            </w:pPr>
            <w:bookmarkStart w:id="261" w:name="xdx_F06_ztuD90ovvQK8"/>
            <w:bookmarkEnd w:id="261"/>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rFonts w:ascii="Times New Roman;Times;Serif" w:hAnsi="Times New Roman;Times;Serif"/>
                <w:sz w:val="20"/>
              </w:rPr>
            </w:pPr>
            <w:bookmarkStart w:id="262" w:name="xdx_F1E_znulcB1KJMo4"/>
            <w:bookmarkEnd w:id="262"/>
            <w:r>
              <w:rPr>
                <w:rFonts w:ascii="Times New Roman;Times;Serif" w:hAnsi="Times New Roman;Times;Serif"/>
                <w:sz w:val="20"/>
              </w:rPr>
              <w:t xml:space="preserve">Does not include an additional </w:t>
            </w:r>
            <w:bookmarkStart w:id="263" w:name="xdx_901_ecustom--SharesAvailableForConve"/>
            <w:bookmarkEnd w:id="263"/>
            <w:r>
              <w:rPr>
                <w:rFonts w:ascii="Times New Roman;Times;Serif" w:hAnsi="Times New Roman;Times;Serif"/>
                <w:sz w:val="20"/>
              </w:rPr>
              <w:t>3,454,000 shares if the Successor Series A Convertible Preferred Stock conversion price resets to its floor price of $</w:t>
            </w:r>
            <w:bookmarkStart w:id="264" w:name="xdx_90E_eus-gaap--PreferredStockConverti"/>
            <w:bookmarkEnd w:id="264"/>
            <w:r>
              <w:rPr>
                <w:rFonts w:ascii="Times New Roman;Times;Serif" w:hAnsi="Times New Roman;Times;Serif"/>
                <w:sz w:val="20"/>
              </w:rPr>
              <w:t>2.00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rFonts w:ascii="Times New Roman;Times;Serif" w:hAnsi="Times New Roman;Times;Serif"/>
                <w:sz w:val="20"/>
              </w:rPr>
            </w:pPr>
            <w:bookmarkStart w:id="265" w:name="xdx_F0E_zyCd1P8UNIX8"/>
            <w:bookmarkEnd w:id="265"/>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rFonts w:ascii="Times New Roman;Times;Serif" w:hAnsi="Times New Roman;Times;Serif"/>
                <w:sz w:val="20"/>
              </w:rPr>
            </w:pPr>
            <w:bookmarkStart w:id="266" w:name="xdx_F1E_zP1ZvpriWXn5"/>
            <w:bookmarkEnd w:id="266"/>
            <w:r>
              <w:rPr>
                <w:rFonts w:ascii="Times New Roman;Times;Serif" w:hAnsi="Times New Roman;Times;Serif"/>
                <w:sz w:val="20"/>
              </w:rPr>
              <w:t xml:space="preserve">Does not include an additional </w:t>
            </w:r>
            <w:bookmarkStart w:id="267" w:name="xdx_90C_ecustom--SharesAvailableForConve"/>
            <w:bookmarkEnd w:id="267"/>
            <w:r>
              <w:rPr>
                <w:rFonts w:ascii="Times New Roman;Times;Serif" w:hAnsi="Times New Roman;Times;Serif"/>
                <w:sz w:val="20"/>
              </w:rPr>
              <w:t>216,970 shares if the Successor Series B Convertible Preferred Stock conversion price resets to its floor price of $</w:t>
            </w:r>
            <w:bookmarkStart w:id="268" w:name="xdx_90B_eus-gaap--PreferredStockConverti"/>
            <w:bookmarkEnd w:id="268"/>
            <w:r>
              <w:rPr>
                <w:rFonts w:ascii="Times New Roman;Times;Serif" w:hAnsi="Times New Roman;Times;Serif"/>
                <w:sz w:val="20"/>
              </w:rPr>
              <w:t>7.00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23"/>
        <w:gridCol w:w="9929"/>
      </w:tblGrid>
      <w:tr>
        <w:trPr/>
        <w:tc>
          <w:tcPr>
            <w:tcW w:w="253" w:type="dxa"/>
            <w:tcBorders/>
            <w:vAlign w:val="center"/>
          </w:tcPr>
          <w:p>
            <w:pPr>
              <w:pStyle w:val="TableContents"/>
              <w:bidi w:val="0"/>
              <w:spacing w:before="0" w:after="283"/>
              <w:jc w:val="right"/>
              <w:rPr>
                <w:rFonts w:ascii="Times New Roman;Times;Serif" w:hAnsi="Times New Roman;Times;Serif"/>
                <w:sz w:val="20"/>
              </w:rPr>
            </w:pPr>
            <w:bookmarkStart w:id="269" w:name="xdx_F09_zf2QPdQ6Sa47"/>
            <w:bookmarkEnd w:id="269"/>
            <w:r>
              <w:rPr>
                <w:rFonts w:ascii="Times New Roman;Times;Serif" w:hAnsi="Times New Roman;Times;Serif"/>
                <w:sz w:val="20"/>
              </w:rPr>
              <w:t>[5]</w:t>
            </w:r>
          </w:p>
        </w:tc>
        <w:tc>
          <w:tcPr>
            <w:tcW w:w="23"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both"/>
              <w:rPr>
                <w:rFonts w:ascii="Times New Roman;Times;Serif" w:hAnsi="Times New Roman;Times;Serif"/>
                <w:sz w:val="20"/>
              </w:rPr>
            </w:pPr>
            <w:bookmarkStart w:id="270" w:name="xdx_F12_zNy9YLjhJSF9"/>
            <w:bookmarkEnd w:id="270"/>
            <w:r>
              <w:rPr>
                <w:rFonts w:ascii="Times New Roman;Times;Serif" w:hAnsi="Times New Roman;Times;Serif"/>
                <w:sz w:val="20"/>
              </w:rPr>
              <w:t xml:space="preserve">Does not include an additional </w:t>
            </w:r>
            <w:bookmarkStart w:id="271" w:name="xdx_90C_ecustom--SharesAvailableForConve"/>
            <w:bookmarkEnd w:id="271"/>
            <w:r>
              <w:rPr>
                <w:rFonts w:ascii="Times New Roman;Times;Serif" w:hAnsi="Times New Roman;Times;Serif"/>
                <w:sz w:val="20"/>
              </w:rPr>
              <w:t>3,454,000 shares if the Successor Series A warrant exercise price resets to its floor price of $</w:t>
            </w:r>
            <w:bookmarkStart w:id="272" w:name="xdx_907_eus-gaap--PreferredStockConverti"/>
            <w:bookmarkEnd w:id="272"/>
            <w:r>
              <w:rPr>
                <w:rFonts w:ascii="Times New Roman;Times;Serif" w:hAnsi="Times New Roman;Times;Serif"/>
                <w:sz w:val="20"/>
              </w:rPr>
              <w:t>2.00 per share.</w:t>
            </w:r>
          </w:p>
        </w:tc>
      </w:tr>
    </w:tbl>
    <w:p>
      <w:pPr>
        <w:pStyle w:val="TextBody"/>
        <w:bidi w:val="0"/>
        <w:spacing w:before="0" w:after="0"/>
        <w:ind w:left="0" w:right="0" w:hanging="0"/>
        <w:jc w:val="both"/>
        <w:rPr>
          <w:caps w:val="false"/>
          <w:smallCaps w:val="false"/>
        </w:rPr>
      </w:pPr>
      <w:bookmarkStart w:id="273" w:name="xdx_8A5_zUGA23aTWvYb"/>
      <w:bookmarkEnd w:id="273"/>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4" w:name="xdx_86F_z9l3CdnUa3U1"/>
      <w:bookmarkStart w:id="275" w:name="xdx_84D_eus-gaap--SegmentReportingPolicy"/>
      <w:bookmarkEnd w:id="274"/>
      <w:bookmarkEnd w:id="275"/>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 reportable and operating segment. All assets and operations are in the U.S. The Company’s Chief Executive Officer, who is the chief operating decision maker, reviews financial information on an aggregate basis for purposes of allocating resources and evaluating financial performance.</w:t>
      </w:r>
    </w:p>
    <w:p>
      <w:pPr>
        <w:pStyle w:val="TextBody"/>
        <w:bidi w:val="0"/>
        <w:spacing w:before="0" w:after="0"/>
        <w:ind w:left="0" w:right="0" w:hanging="0"/>
        <w:jc w:val="both"/>
        <w:rPr>
          <w:caps w:val="false"/>
          <w:smallCaps w:val="false"/>
        </w:rPr>
      </w:pPr>
      <w:bookmarkStart w:id="276" w:name="xdx_851_ztpDodYdHOs8"/>
      <w:bookmarkEnd w:id="27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7" w:name="xdx_80C_eus-gaap--AccountsPayableAndAccr"/>
      <w:bookmarkEnd w:id="277"/>
      <w:r>
        <w:rPr>
          <w:rFonts w:ascii="Times New Roman;Times;Serif" w:hAnsi="Times New Roman;Times;Serif"/>
          <w:b/>
          <w:i w:val="false"/>
          <w:caps w:val="false"/>
          <w:smallCaps w:val="false"/>
          <w:sz w:val="20"/>
        </w:rPr>
        <w:t xml:space="preserve">Note 4 – </w:t>
      </w:r>
      <w:bookmarkStart w:id="278" w:name="xdx_82D_z2dDR1CGdqtf"/>
      <w:bookmarkEnd w:id="278"/>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9" w:name="xdx_898_eus-gaap--ScheduleOfAccruedLiabi"/>
      <w:bookmarkEnd w:id="279"/>
      <w:r>
        <w:rPr>
          <w:rFonts w:ascii="Times New Roman;Times;Serif" w:hAnsi="Times New Roman;Times;Serif"/>
          <w:b w:val="false"/>
          <w:i w:val="false"/>
          <w:caps w:val="false"/>
          <w:smallCaps w:val="false"/>
          <w:sz w:val="20"/>
        </w:rPr>
        <w:t>Accrued expenses and other current liabilities consisted of the following as of March 31, 2023 and December 31, 2022:</w:t>
      </w:r>
    </w:p>
    <w:p>
      <w:pPr>
        <w:pStyle w:val="TextBody"/>
        <w:bidi w:val="0"/>
        <w:spacing w:before="0" w:after="0"/>
        <w:ind w:left="0" w:right="0" w:hanging="0"/>
        <w:jc w:val="both"/>
        <w:rPr>
          <w:caps w:val="false"/>
          <w:smallCaps w:val="false"/>
        </w:rPr>
      </w:pPr>
      <w:r>
        <w:rPr>
          <w:caps w:val="false"/>
          <w:smallCaps w:val="false"/>
        </w:rPr>
        <w:t> </w:t>
      </w:r>
      <w:bookmarkStart w:id="280" w:name="xdx_8B6_zuDIgUolAWhl"/>
      <w:bookmarkEnd w:id="280"/>
      <w:r>
        <w:rPr>
          <w:rFonts w:ascii="Times New Roman;Times;Serif" w:hAnsi="Times New Roman;Times;Serif"/>
          <w:b w:val="false"/>
          <w:i w:val="false"/>
          <w:caps w:val="false"/>
          <w:smallCaps w:val="false"/>
          <w:sz w:val="20"/>
        </w:rPr>
        <w:t>Schedule of Accrued Expenses and Other Current Liabilities</w:t>
      </w:r>
    </w:p>
    <w:tbl>
      <w:tblPr>
        <w:tblW w:w="7629" w:type="dxa"/>
        <w:jc w:val="left"/>
        <w:tblInd w:w="0" w:type="dxa"/>
        <w:tblLayout w:type="fixed"/>
        <w:tblCellMar>
          <w:top w:w="0" w:type="dxa"/>
          <w:left w:w="0" w:type="dxa"/>
          <w:bottom w:w="0" w:type="dxa"/>
          <w:right w:w="0" w:type="dxa"/>
        </w:tblCellMar>
      </w:tblPr>
      <w:tblGrid>
        <w:gridCol w:w="4805"/>
        <w:gridCol w:w="60"/>
        <w:gridCol w:w="140"/>
        <w:gridCol w:w="980"/>
        <w:gridCol w:w="60"/>
        <w:gridCol w:w="60"/>
        <w:gridCol w:w="176"/>
        <w:gridCol w:w="1238"/>
        <w:gridCol w:w="110"/>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1" w:name="xdx_498_20230331_zNd9aRxbvJx1"/>
            <w:bookmarkEnd w:id="281"/>
          </w:p>
        </w:tc>
        <w:tc>
          <w:tcPr>
            <w:tcW w:w="112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2" w:name="xdx_49A_20221231_zY2D8qDujjU1"/>
            <w:bookmarkEnd w:id="282"/>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283" w:name="xdx_407_ecustom--MilestonePaymentLiabili"/>
            <w:bookmarkEnd w:id="283"/>
          </w:p>
        </w:tc>
      </w:tr>
      <w:tr>
        <w:trPr/>
        <w:tc>
          <w:tcPr>
            <w:tcW w:w="4805" w:type="dxa"/>
            <w:tcBorders/>
            <w:shd w:fill="CCEEFF" w:val="clear"/>
            <w:vAlign w:val="center"/>
          </w:tcPr>
          <w:p>
            <w:pPr>
              <w:pStyle w:val="TableContents"/>
              <w:bidi w:val="0"/>
              <w:spacing w:before="0" w:after="283"/>
              <w:jc w:val="left"/>
              <w:rPr/>
            </w:pPr>
            <w:r>
              <w:rPr/>
              <w:t>L&amp;F milestone payment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1,500,000</w:t>
            </w:r>
          </w:p>
        </w:tc>
        <w:tc>
          <w:tcPr>
            <w:tcW w:w="110" w:type="dxa"/>
            <w:tcBorders/>
            <w:shd w:fill="CCEEFF" w:val="clear"/>
            <w:vAlign w:val="center"/>
          </w:tcPr>
          <w:p>
            <w:pPr>
              <w:pStyle w:val="TableContents"/>
              <w:bidi w:val="0"/>
              <w:spacing w:before="0" w:after="283"/>
              <w:jc w:val="left"/>
              <w:rPr/>
            </w:pPr>
            <w:r>
              <w:rPr/>
              <w:t> </w:t>
            </w:r>
            <w:bookmarkStart w:id="284" w:name="xdx_408_ecustom--NotePayable_iI_maLAFNzG"/>
            <w:bookmarkEnd w:id="284"/>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L&amp;F Note </w:t>
            </w:r>
            <w:bookmarkStart w:id="285" w:name="xdx_F49_zttEQNZaNFX5"/>
            <w:bookmarkEnd w:id="285"/>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(351,579</w:t>
            </w:r>
          </w:p>
        </w:tc>
        <w:tc>
          <w:tcPr>
            <w:tcW w:w="110" w:type="dxa"/>
            <w:tcBorders/>
            <w:shd w:fill="FFFFFF" w:val="clear"/>
            <w:vAlign w:val="center"/>
          </w:tcPr>
          <w:p>
            <w:pPr>
              <w:pStyle w:val="TableContents"/>
              <w:bidi w:val="0"/>
              <w:spacing w:before="0" w:after="283"/>
              <w:jc w:val="left"/>
              <w:rPr/>
            </w:pPr>
            <w:r>
              <w:rPr/>
              <w:t>)</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6" w:name="xdx_405_ecustom--NoteNet_iTI_mtLAFNzGYj_"/>
            <w:bookmarkEnd w:id="286"/>
          </w:p>
        </w:tc>
      </w:tr>
      <w:tr>
        <w:trPr/>
        <w:tc>
          <w:tcPr>
            <w:tcW w:w="4805" w:type="dxa"/>
            <w:tcBorders/>
            <w:shd w:fill="FFFFFF" w:val="clear"/>
            <w:vAlign w:val="center"/>
          </w:tcPr>
          <w:p>
            <w:pPr>
              <w:pStyle w:val="TableContents"/>
              <w:bidi w:val="0"/>
              <w:spacing w:before="0" w:after="283"/>
              <w:jc w:val="left"/>
              <w:rPr/>
            </w:pPr>
            <w:r>
              <w:rPr/>
              <w:t>L&amp;F,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1,148,421</w:t>
            </w:r>
          </w:p>
        </w:tc>
        <w:tc>
          <w:tcPr>
            <w:tcW w:w="110" w:type="dxa"/>
            <w:tcBorders/>
            <w:shd w:fill="FFFFFF" w:val="clear"/>
            <w:vAlign w:val="center"/>
          </w:tcPr>
          <w:p>
            <w:pPr>
              <w:pStyle w:val="TableContents"/>
              <w:bidi w:val="0"/>
              <w:spacing w:before="0" w:after="283"/>
              <w:jc w:val="left"/>
              <w:rPr/>
            </w:pPr>
            <w:r>
              <w:rPr/>
              <w:t> </w:t>
            </w:r>
            <w:bookmarkStart w:id="287" w:name="xdx_40F_eus-gaap--AccruedPayrollTaxesCur"/>
            <w:bookmarkEnd w:id="287"/>
          </w:p>
        </w:tc>
      </w:tr>
      <w:tr>
        <w:trPr/>
        <w:tc>
          <w:tcPr>
            <w:tcW w:w="4805" w:type="dxa"/>
            <w:tcBorders/>
            <w:shd w:fill="CCEEFF" w:val="clear"/>
            <w:vAlign w:val="center"/>
          </w:tcPr>
          <w:p>
            <w:pPr>
              <w:pStyle w:val="TableContents"/>
              <w:bidi w:val="0"/>
              <w:spacing w:before="0" w:after="283"/>
              <w:jc w:val="left"/>
              <w:rPr/>
            </w:pPr>
            <w:r>
              <w:rPr/>
              <w:t>Payroll accrual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291,552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584,226</w:t>
            </w:r>
          </w:p>
        </w:tc>
        <w:tc>
          <w:tcPr>
            <w:tcW w:w="110" w:type="dxa"/>
            <w:tcBorders/>
            <w:shd w:fill="CCEEFF" w:val="clear"/>
            <w:vAlign w:val="center"/>
          </w:tcPr>
          <w:p>
            <w:pPr>
              <w:pStyle w:val="TableContents"/>
              <w:bidi w:val="0"/>
              <w:spacing w:before="0" w:after="283"/>
              <w:jc w:val="left"/>
              <w:rPr/>
            </w:pPr>
            <w:r>
              <w:rPr/>
              <w:t> </w:t>
            </w:r>
            <w:bookmarkStart w:id="288" w:name="xdx_404_eus-gaap--OtherAccruedLiabilitie"/>
            <w:bookmarkEnd w:id="288"/>
          </w:p>
        </w:tc>
      </w:tr>
      <w:tr>
        <w:trPr/>
        <w:tc>
          <w:tcPr>
            <w:tcW w:w="4805" w:type="dxa"/>
            <w:tcBorders/>
            <w:shd w:fill="FFFFFF" w:val="clear"/>
            <w:vAlign w:val="center"/>
          </w:tcPr>
          <w:p>
            <w:pPr>
              <w:pStyle w:val="TableContents"/>
              <w:bidi w:val="0"/>
              <w:spacing w:before="0" w:after="283"/>
              <w:jc w:val="left"/>
              <w:rPr/>
            </w:pPr>
            <w:r>
              <w:rPr/>
              <w:t>Other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214,229</w:t>
            </w:r>
          </w:p>
        </w:tc>
        <w:tc>
          <w:tcPr>
            <w:tcW w:w="110" w:type="dxa"/>
            <w:tcBorders/>
            <w:shd w:fill="FFFFFF" w:val="clear"/>
            <w:vAlign w:val="center"/>
          </w:tcPr>
          <w:p>
            <w:pPr>
              <w:pStyle w:val="TableContents"/>
              <w:bidi w:val="0"/>
              <w:spacing w:before="0" w:after="283"/>
              <w:jc w:val="left"/>
              <w:rPr/>
            </w:pPr>
            <w:r>
              <w:rPr/>
              <w:t> </w:t>
            </w:r>
            <w:bookmarkStart w:id="289" w:name="xdx_408_eus-gaap--TaxesPayableCurrent_iI"/>
            <w:bookmarkEnd w:id="289"/>
          </w:p>
        </w:tc>
      </w:tr>
      <w:tr>
        <w:trPr/>
        <w:tc>
          <w:tcPr>
            <w:tcW w:w="4805" w:type="dxa"/>
            <w:tcBorders/>
            <w:shd w:fill="CCEEFF" w:val="clear"/>
            <w:vAlign w:val="center"/>
          </w:tcPr>
          <w:p>
            <w:pPr>
              <w:pStyle w:val="TableContents"/>
              <w:bidi w:val="0"/>
              <w:spacing w:before="0" w:after="283"/>
              <w:jc w:val="left"/>
              <w:rPr/>
            </w:pPr>
            <w:r>
              <w:rPr/>
              <w:t>Federal income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106,683</w:t>
            </w:r>
          </w:p>
        </w:tc>
        <w:tc>
          <w:tcPr>
            <w:tcW w:w="110" w:type="dxa"/>
            <w:tcBorders/>
            <w:shd w:fill="CCEEFF" w:val="clear"/>
            <w:vAlign w:val="center"/>
          </w:tcPr>
          <w:p>
            <w:pPr>
              <w:pStyle w:val="TableContents"/>
              <w:bidi w:val="0"/>
              <w:spacing w:before="0" w:after="283"/>
              <w:jc w:val="left"/>
              <w:rPr/>
            </w:pPr>
            <w:r>
              <w:rPr/>
              <w:t> </w:t>
            </w:r>
            <w:bookmarkStart w:id="290" w:name="xdx_409_eus-gaap--AccruedBonusesCurrent_"/>
            <w:bookmarkEnd w:id="290"/>
          </w:p>
        </w:tc>
      </w:tr>
      <w:tr>
        <w:trPr/>
        <w:tc>
          <w:tcPr>
            <w:tcW w:w="4805" w:type="dxa"/>
            <w:tcBorders/>
            <w:shd w:fill="FFFFFF" w:val="clear"/>
            <w:vAlign w:val="center"/>
          </w:tcPr>
          <w:p>
            <w:pPr>
              <w:pStyle w:val="TableContents"/>
              <w:bidi w:val="0"/>
              <w:spacing w:before="0" w:after="283"/>
              <w:jc w:val="left"/>
              <w:rPr/>
            </w:pPr>
            <w:r>
              <w:rPr/>
              <w:t>Bonus accrual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764,590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1" w:name="xdx_403_eus-gaap--OtherLiabilities_iI_ma"/>
            <w:bookmarkEnd w:id="291"/>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Registration delay liability </w:t>
            </w:r>
            <w:bookmarkStart w:id="292" w:name="xdx_F43_zCKxMo2bw9g5"/>
            <w:bookmarkEnd w:id="292"/>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398,019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93" w:name="xdx_406_eus-gaap--AccountsPayableAndOthe"/>
            <w:bookmarkEnd w:id="293"/>
          </w:p>
        </w:tc>
      </w:tr>
      <w:tr>
        <w:trPr/>
        <w:tc>
          <w:tcPr>
            <w:tcW w:w="4805" w:type="dxa"/>
            <w:tcBorders/>
            <w:shd w:fill="FFFFFF" w:val="clear"/>
            <w:vAlign w:val="center"/>
          </w:tcPr>
          <w:p>
            <w:pPr>
              <w:pStyle w:val="TableContents"/>
              <w:bidi w:val="0"/>
              <w:spacing w:before="0" w:after="283"/>
              <w:jc w:val="left"/>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2,112,812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2,053,559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260"/>
        <w:gridCol w:w="23"/>
        <w:gridCol w:w="756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294" w:name="xdx_F0B_zsivfvwItsve"/>
            <w:bookmarkEnd w:id="294"/>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565" w:type="dxa"/>
            <w:tcBorders/>
            <w:vAlign w:val="center"/>
          </w:tcPr>
          <w:p>
            <w:pPr>
              <w:pStyle w:val="TableContents"/>
              <w:bidi w:val="0"/>
              <w:spacing w:before="0" w:after="283"/>
              <w:jc w:val="both"/>
              <w:rPr>
                <w:rFonts w:ascii="Times New Roman;Times;Serif" w:hAnsi="Times New Roman;Times;Serif"/>
                <w:sz w:val="20"/>
              </w:rPr>
            </w:pPr>
            <w:bookmarkStart w:id="295" w:name="xdx_F13_zk0Q0g0f4Yq1"/>
            <w:bookmarkEnd w:id="295"/>
            <w:r>
              <w:rPr>
                <w:rFonts w:ascii="Times New Roman;Times;Serif" w:hAnsi="Times New Roman;Times;Serif"/>
                <w:sz w:val="20"/>
              </w:rPr>
              <w:t>See Note 7 – Commitments and Contingencies for details of the forgiveness of the L&amp;F Note.</w:t>
            </w:r>
          </w:p>
        </w:tc>
      </w:tr>
    </w:tbl>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260"/>
        <w:gridCol w:w="23"/>
        <w:gridCol w:w="858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296" w:name="xdx_F06_zOdfJAO4Jvh2"/>
            <w:bookmarkEnd w:id="296"/>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8585" w:type="dxa"/>
            <w:tcBorders/>
            <w:vAlign w:val="center"/>
          </w:tcPr>
          <w:p>
            <w:pPr>
              <w:pStyle w:val="TableContents"/>
              <w:bidi w:val="0"/>
              <w:spacing w:before="0" w:after="283"/>
              <w:jc w:val="both"/>
              <w:rPr>
                <w:rFonts w:ascii="Times New Roman;Times;Serif" w:hAnsi="Times New Roman;Times;Serif"/>
                <w:sz w:val="20"/>
              </w:rPr>
            </w:pPr>
            <w:bookmarkStart w:id="297" w:name="xdx_F1D_ziRn1NF9qnyl"/>
            <w:bookmarkEnd w:id="297"/>
            <w:r>
              <w:rPr>
                <w:rFonts w:ascii="Times New Roman;Times;Serif" w:hAnsi="Times New Roman;Times;Serif"/>
                <w:sz w:val="20"/>
              </w:rPr>
              <w:t>See Note 8 – Stockholders’ Permanent and Temporary Equity for details of the registration delay liability.</w:t>
            </w:r>
          </w:p>
        </w:tc>
      </w:tr>
    </w:tbl>
    <w:p>
      <w:pPr>
        <w:pStyle w:val="TextBody"/>
        <w:bidi w:val="0"/>
        <w:spacing w:before="0" w:after="0"/>
        <w:ind w:left="0" w:right="0" w:hanging="0"/>
        <w:jc w:val="both"/>
        <w:rPr>
          <w:caps w:val="false"/>
          <w:smallCaps w:val="false"/>
        </w:rPr>
      </w:pPr>
      <w:bookmarkStart w:id="298" w:name="xdx_8A1_zTVwJok91WCi"/>
      <w:bookmarkEnd w:id="29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9" w:name="xdx_803_eus-gaap--DerivativeInstrumentsA"/>
      <w:bookmarkEnd w:id="299"/>
      <w:r>
        <w:rPr>
          <w:rFonts w:ascii="Times New Roman;Times;Serif" w:hAnsi="Times New Roman;Times;Serif"/>
          <w:b/>
          <w:i w:val="false"/>
          <w:caps w:val="false"/>
          <w:smallCaps w:val="false"/>
          <w:sz w:val="20"/>
        </w:rPr>
        <w:t xml:space="preserve">Note 5 – </w:t>
      </w:r>
      <w:bookmarkStart w:id="300" w:name="xdx_827_zh0fYIftJLA9"/>
      <w:bookmarkEnd w:id="300"/>
      <w:r>
        <w:rPr>
          <w:rFonts w:ascii="Times New Roman;Times;Serif" w:hAnsi="Times New Roman;Times;Serif"/>
          <w:b/>
          <w:i w:val="false"/>
          <w:caps w:val="false"/>
          <w:smallCaps w:val="false"/>
          <w:sz w:val="20"/>
        </w:rPr>
        <w:t>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1, 2022, the Company had Level 3 derivative liabilities that were measured at fair value at issuance, related to the redemption features and put options of certain convertible notes. The redemption features were valued using a combination of a discounted cash flow and a Black-Scholes valuation technique. There were </w:t>
      </w:r>
      <w:bookmarkStart w:id="301" w:name="xdx_90B_eus-gaap--DerivativeLiabilities_"/>
      <w:bookmarkStart w:id="302" w:name="xdx_902_eus-gaap--DerivativeLiabilities_"/>
      <w:bookmarkEnd w:id="301"/>
      <w:bookmarkEnd w:id="302"/>
      <w:r>
        <w:rPr>
          <w:rFonts w:ascii="Times New Roman;Times;Serif" w:hAnsi="Times New Roman;Times;Serif"/>
          <w:b w:val="false"/>
          <w:i w:val="false"/>
          <w:caps w:val="false"/>
          <w:smallCaps w:val="false"/>
          <w:sz w:val="20"/>
        </w:rPr>
        <w:t>no derivative liabilities as of March 31, 2023 or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2022, the Predecessor recorded a gain on the change in the fair value of the derivative liabilities of $</w:t>
      </w:r>
      <w:bookmarkStart w:id="303" w:name="xdx_90A_eus-gaap--DerivativeGainLossOnDe"/>
      <w:bookmarkEnd w:id="303"/>
      <w:r>
        <w:rPr>
          <w:rFonts w:ascii="Times New Roman;Times;Serif" w:hAnsi="Times New Roman;Times;Serif"/>
          <w:b w:val="false"/>
          <w:i w:val="false"/>
          <w:caps w:val="false"/>
          <w:smallCaps w:val="false"/>
          <w:sz w:val="20"/>
        </w:rPr>
        <w:t>212,100.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4" w:name="xdx_802_eus-gaap--IncomeTaxDisclosureTex"/>
      <w:bookmarkEnd w:id="304"/>
      <w:r>
        <w:rPr>
          <w:rFonts w:ascii="Times New Roman;Times;Serif" w:hAnsi="Times New Roman;Times;Serif"/>
          <w:b/>
          <w:i w:val="false"/>
          <w:caps w:val="false"/>
          <w:smallCaps w:val="false"/>
          <w:sz w:val="20"/>
        </w:rPr>
        <w:t xml:space="preserve">Note 6 – </w:t>
      </w:r>
      <w:bookmarkStart w:id="305" w:name="xdx_82D_zIdXDYcY52Ol"/>
      <w:bookmarkEnd w:id="305"/>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306" w:name="xdx_89A_eus-gaap--ScheduleOfEffectiveInc"/>
      <w:bookmarkEnd w:id="306"/>
      <w:r>
        <w:rPr>
          <w:rFonts w:ascii="Times New Roman;Times;Serif" w:hAnsi="Times New Roman;Times;Serif"/>
          <w:b w:val="false"/>
          <w:i w:val="false"/>
          <w:caps w:val="false"/>
          <w:smallCaps w:val="false"/>
          <w:sz w:val="20"/>
        </w:rPr>
        <w:t>Income tax expense and the effective tax rate were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307" w:name="xdx_8B7_zPVni9QwiMd9"/>
      <w:bookmarkEnd w:id="307"/>
      <w:r>
        <w:rPr>
          <w:rFonts w:ascii="Times New Roman;Times;Serif" w:hAnsi="Times New Roman;Times;Serif"/>
          <w:b w:val="false"/>
          <w:i w:val="false"/>
          <w:caps w:val="false"/>
          <w:smallCaps w:val="false"/>
          <w:sz w:val="20"/>
        </w:rPr>
        <w:t>Schedule of Income Tax Expense and the Effective Tax Rate</w:t>
      </w:r>
    </w:p>
    <w:tbl>
      <w:tblPr>
        <w:tblW w:w="9563" w:type="dxa"/>
        <w:jc w:val="left"/>
        <w:tblInd w:w="0" w:type="dxa"/>
        <w:tblLayout w:type="fixed"/>
        <w:tblCellMar>
          <w:top w:w="0" w:type="dxa"/>
          <w:left w:w="0" w:type="dxa"/>
          <w:bottom w:w="0" w:type="dxa"/>
          <w:right w:w="0" w:type="dxa"/>
        </w:tblCellMar>
      </w:tblPr>
      <w:tblGrid>
        <w:gridCol w:w="5930"/>
        <w:gridCol w:w="60"/>
        <w:gridCol w:w="191"/>
        <w:gridCol w:w="1343"/>
        <w:gridCol w:w="215"/>
        <w:gridCol w:w="60"/>
        <w:gridCol w:w="369"/>
        <w:gridCol w:w="1165"/>
        <w:gridCol w:w="23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8" w:name="xdx_494_20230101__20230331_z3gSzr1wqU44"/>
            <w:bookmarkEnd w:id="308"/>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 w:name="xdx_49E_20220101__20220331__us-gaap--Fre"/>
            <w:bookmarkEnd w:id="309"/>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bookmarkStart w:id="310" w:name="xdx_40D_eus-gaap--FinancialDesignationPr"/>
            <w:bookmarkEnd w:id="310"/>
          </w:p>
        </w:tc>
      </w:tr>
      <w:tr>
        <w:trPr/>
        <w:tc>
          <w:tcPr>
            <w:tcW w:w="5930" w:type="dxa"/>
            <w:tcBorders/>
            <w:vAlign w:val="center"/>
          </w:tcPr>
          <w:p>
            <w:pPr>
              <w:pStyle w:val="TableContents"/>
              <w:bidi w:val="0"/>
              <w:spacing w:before="0" w:after="283"/>
              <w:jc w:val="left"/>
              <w:rPr/>
            </w:pPr>
            <w:r>
              <w:rPr/>
              <w:t>Financial Designation, Predecessor and Successor [Fixed List]</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23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23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23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23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230" w:type="dxa"/>
            <w:tcBorders/>
            <w:vAlign w:val="center"/>
          </w:tcPr>
          <w:p>
            <w:pPr>
              <w:pStyle w:val="TableContents"/>
              <w:bidi w:val="0"/>
              <w:spacing w:before="0" w:after="283"/>
              <w:jc w:val="left"/>
              <w:rPr/>
            </w:pPr>
            <w:r>
              <w:rPr/>
              <w:t> </w:t>
            </w:r>
          </w:p>
        </w:tc>
      </w:tr>
      <w:tr>
        <w:trPr/>
        <w:tc>
          <w:tcPr>
            <w:tcW w:w="5930" w:type="dxa"/>
            <w:tcBorders>
              <w:bottom w:val="single" w:sz="12"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bookmarkStart w:id="311" w:name="xdx_407_eus-gaap--IncomeTaxExpenseBenefi"/>
            <w:bookmarkEnd w:id="311"/>
          </w:p>
        </w:tc>
      </w:tr>
      <w:tr>
        <w:trPr/>
        <w:tc>
          <w:tcPr>
            <w:tcW w:w="593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343" w:type="dxa"/>
            <w:tcBorders/>
            <w:shd w:fill="CCEEFF" w:val="clear"/>
            <w:vAlign w:val="center"/>
          </w:tcPr>
          <w:p>
            <w:pPr>
              <w:pStyle w:val="TableContents"/>
              <w:bidi w:val="0"/>
              <w:spacing w:before="0" w:after="283"/>
              <w:jc w:val="right"/>
              <w:rPr/>
            </w:pPr>
            <w:r>
              <w:rPr/>
              <w:t>1,047,051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bookmarkStart w:id="312" w:name="xdx_400_eus-gaap--EffectiveIncomeTaxRate"/>
            <w:bookmarkEnd w:id="312"/>
          </w:p>
        </w:tc>
      </w:tr>
      <w:tr>
        <w:trPr/>
        <w:tc>
          <w:tcPr>
            <w:tcW w:w="5930"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22.81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0.00</w:t>
            </w:r>
          </w:p>
        </w:tc>
        <w:tc>
          <w:tcPr>
            <w:tcW w:w="23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bookmarkStart w:id="313" w:name="xdx_8AF_z7EMoI0sNbxl"/>
      <w:bookmarkEnd w:id="31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tax provisions for the three months ended March 31, 2023 and 2022 were computed using the estimated effective tax rates applicable to the taxable jurisdictions for the full year. The Company’s tax rate is subject to management’s quarterly review and revision, as necessary. The Company’s effective tax rate was </w:t>
      </w:r>
      <w:bookmarkStart w:id="314" w:name="xdx_907_eus-gaap--EffectiveIncomeTaxRate"/>
      <w:bookmarkEnd w:id="314"/>
      <w:r>
        <w:rPr>
          <w:rFonts w:ascii="Times New Roman;Times;Serif" w:hAnsi="Times New Roman;Times;Serif"/>
          <w:b w:val="false"/>
          <w:i w:val="false"/>
          <w:caps w:val="false"/>
          <w:smallCaps w:val="false"/>
          <w:sz w:val="20"/>
        </w:rPr>
        <w:t xml:space="preserve">22.81% and </w:t>
      </w:r>
      <w:bookmarkStart w:id="315" w:name="xdx_90C_eus-gaap--EffectiveIncomeTaxRate"/>
      <w:bookmarkEnd w:id="315"/>
      <w:r>
        <w:rPr>
          <w:rFonts w:ascii="Times New Roman;Times;Serif" w:hAnsi="Times New Roman;Times;Serif"/>
          <w:b w:val="false"/>
          <w:i w:val="false"/>
          <w:caps w:val="false"/>
          <w:smallCaps w:val="false"/>
          <w:sz w:val="20"/>
        </w:rPr>
        <w:t>0.0% for the three months ended March 31, 2023 and 2022. The increase in the quarterly rates is primarily the result of changes in its valuation allowance. As of March 31, 2022, the Company recorded a full valuation allowance due to historical and projected losses. As of March 31, 2023, the Company did not record a valuation allowance due to a significant deferred tax liability being established in connection with the Business Combination on December 12, 2022 which is a source of future taxable income to realize its net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6" w:name="xdx_80E_eus-gaap--CommitmentsAndContinge"/>
      <w:bookmarkEnd w:id="316"/>
      <w:r>
        <w:rPr>
          <w:rFonts w:ascii="Times New Roman;Times;Serif" w:hAnsi="Times New Roman;Times;Serif"/>
          <w:b/>
          <w:i w:val="false"/>
          <w:caps w:val="false"/>
          <w:smallCaps w:val="false"/>
          <w:sz w:val="20"/>
        </w:rPr>
        <w:t xml:space="preserve">Note 7 – </w:t>
      </w:r>
      <w:bookmarkStart w:id="317" w:name="xdx_82A_zzvtd83IttG9"/>
      <w:bookmarkEnd w:id="317"/>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Litigations, Claims and Assessments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L&amp;F Research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8" w:name="xdx_900_ecustom--MilestonePaymentDescrip"/>
      <w:bookmarkEnd w:id="318"/>
      <w:r>
        <w:rPr>
          <w:rFonts w:ascii="Times New Roman;Times;Serif" w:hAnsi="Times New Roman;Times;Serif"/>
          <w:b w:val="false"/>
          <w:i w:val="false"/>
          <w:caps w:val="false"/>
          <w:smallCaps w:val="false"/>
          <w:sz w:val="20"/>
        </w:rPr>
        <w:t>On February 28, 2023, the Company and L&amp;F executed an Amendment and Restatement Agreement that waives L&amp;F’s right to terminate the L&amp;F License or any other remedies, for non-payment of the First Milestone Payment, until (a) March 31, 2023 as to $1,000,000 of such milestone payments (“Waiver A”) and (b) January 31, 2024 as to $500,000 milestone payments (“Waiver B”). Waiver A is contingent upon (i) forgiveness by the Company of $</w:t>
      </w:r>
      <w:bookmarkStart w:id="319" w:name="xdx_909_eus-gaap--DebtInstrumentDecrease"/>
      <w:bookmarkEnd w:id="319"/>
      <w:r>
        <w:rPr>
          <w:rFonts w:ascii="Times New Roman;Times;Serif" w:hAnsi="Times New Roman;Times;Serif"/>
          <w:b w:val="false"/>
          <w:i w:val="false"/>
          <w:caps w:val="false"/>
          <w:smallCaps w:val="false"/>
          <w:sz w:val="20"/>
        </w:rPr>
        <w:t>351,579 in aggregate principal amount outstanding under a certain convertible note, and (ii) a cash payment by the Company to L&amp;F in the amount of $</w:t>
      </w:r>
      <w:bookmarkStart w:id="320" w:name="xdx_901_eus-gaap--DebtInstrumentPeriodic"/>
      <w:bookmarkEnd w:id="320"/>
      <w:r>
        <w:rPr>
          <w:rFonts w:ascii="Times New Roman;Times;Serif" w:hAnsi="Times New Roman;Times;Serif"/>
          <w:b w:val="false"/>
          <w:i w:val="false"/>
          <w:caps w:val="false"/>
          <w:smallCaps w:val="false"/>
          <w:sz w:val="20"/>
        </w:rPr>
        <w:t xml:space="preserve">648,421, on or before </w:t>
      </w:r>
      <w:bookmarkStart w:id="321" w:name="xdx_905_eus-gaap--DebtInstrumentMaturity"/>
      <w:bookmarkEnd w:id="321"/>
      <w:r>
        <w:rPr>
          <w:rFonts w:ascii="Times New Roman;Times;Serif" w:hAnsi="Times New Roman;Times;Serif"/>
          <w:b w:val="false"/>
          <w:i w:val="false"/>
          <w:caps w:val="false"/>
          <w:smallCaps w:val="false"/>
          <w:sz w:val="20"/>
        </w:rPr>
        <w:t>March 31, 2023. Waiver B is contingent upon a cash payment by the Company to L&amp;F in the amount of $</w:t>
      </w:r>
      <w:bookmarkStart w:id="322" w:name="xdx_90D_eus-gaap--DebtInstrumentPeriodic"/>
      <w:bookmarkEnd w:id="322"/>
      <w:r>
        <w:rPr>
          <w:rFonts w:ascii="Times New Roman;Times;Serif" w:hAnsi="Times New Roman;Times;Serif"/>
          <w:b w:val="false"/>
          <w:i w:val="false"/>
          <w:caps w:val="false"/>
          <w:smallCaps w:val="false"/>
          <w:sz w:val="20"/>
        </w:rPr>
        <w:t xml:space="preserve">500,000 on or before the earlier of (x) </w:t>
      </w:r>
      <w:bookmarkStart w:id="323" w:name="xdx_900_eus-gaap--DebtInstrumentMaturity"/>
      <w:bookmarkEnd w:id="323"/>
      <w:r>
        <w:rPr>
          <w:rFonts w:ascii="Times New Roman;Times;Serif" w:hAnsi="Times New Roman;Times;Serif"/>
          <w:b w:val="false"/>
          <w:i w:val="false"/>
          <w:caps w:val="false"/>
          <w:smallCaps w:val="false"/>
          <w:sz w:val="20"/>
        </w:rPr>
        <w:t>January 31, 2024, and (y) ten business days from the date that the Company receives net proceeds of at least $</w:t>
      </w:r>
      <w:bookmarkStart w:id="324" w:name="xdx_905_eus-gaap--ProceedsFromIssuanceOr"/>
      <w:bookmarkEnd w:id="324"/>
      <w:r>
        <w:rPr>
          <w:rFonts w:ascii="Times New Roman;Times;Serif" w:hAnsi="Times New Roman;Times;Serif"/>
          <w:b w:val="false"/>
          <w:i w:val="false"/>
          <w:caps w:val="false"/>
          <w:smallCaps w:val="false"/>
          <w:sz w:val="20"/>
        </w:rPr>
        <w:t>30,000,000 from the issuance of new equity capital. All other terms of the L&amp;F License remain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forgave $</w:t>
      </w:r>
      <w:bookmarkStart w:id="325" w:name="xdx_903_eus-gaap--DebtInstrumentDecrease"/>
      <w:bookmarkEnd w:id="325"/>
      <w:r>
        <w:rPr>
          <w:rFonts w:ascii="Times New Roman;Times;Serif" w:hAnsi="Times New Roman;Times;Serif"/>
          <w:b w:val="false"/>
          <w:i w:val="false"/>
          <w:caps w:val="false"/>
          <w:smallCaps w:val="false"/>
          <w:sz w:val="20"/>
        </w:rPr>
        <w:t>351,579 in aggregate principal amount outstanding on a certain note and paid $</w:t>
      </w:r>
      <w:bookmarkStart w:id="326" w:name="xdx_909_eus-gaap--DebtInstrumentPeriodic"/>
      <w:bookmarkEnd w:id="326"/>
      <w:r>
        <w:rPr>
          <w:rFonts w:ascii="Times New Roman;Times;Serif" w:hAnsi="Times New Roman;Times;Serif"/>
          <w:b w:val="false"/>
          <w:i w:val="false"/>
          <w:caps w:val="false"/>
          <w:smallCaps w:val="false"/>
          <w:sz w:val="20"/>
        </w:rPr>
        <w:t xml:space="preserve">648,421 of cash to L&amp;F, thus meeting the conditions of Waiver A. L&amp;F’s put option expired upon meeting the Waiver A conditions, which resulted in a reclassification of </w:t>
      </w:r>
      <w:bookmarkStart w:id="327" w:name="xdx_904_eus-gaap--TemporaryEquitySharesO"/>
      <w:bookmarkEnd w:id="327"/>
      <w:r>
        <w:rPr>
          <w:rFonts w:ascii="Times New Roman;Times;Serif" w:hAnsi="Times New Roman;Times;Serif"/>
          <w:b w:val="false"/>
          <w:i w:val="false"/>
          <w:caps w:val="false"/>
          <w:smallCaps w:val="false"/>
          <w:sz w:val="20"/>
        </w:rPr>
        <w:t>65,783 shares of common stock and $</w:t>
      </w:r>
      <w:bookmarkStart w:id="328" w:name="xdx_905_eus-gaap--TemporaryEquityCarryin"/>
      <w:bookmarkEnd w:id="328"/>
      <w:r>
        <w:rPr>
          <w:rFonts w:ascii="Times New Roman;Times;Serif" w:hAnsi="Times New Roman;Times;Serif"/>
          <w:b w:val="false"/>
          <w:i w:val="false"/>
          <w:caps w:val="false"/>
          <w:smallCaps w:val="false"/>
          <w:sz w:val="20"/>
        </w:rPr>
        <w:t>331,331 classified as temporary equity to permanent equity.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2019, the Predecessor entered into a lease agreement for approximately </w:t>
      </w:r>
      <w:bookmarkStart w:id="329" w:name="xdx_905_eus-gaap--AreaOfLand_iI_usqft_c2"/>
      <w:bookmarkEnd w:id="329"/>
      <w:r>
        <w:rPr>
          <w:rFonts w:ascii="Times New Roman;Times;Serif" w:hAnsi="Times New Roman;Times;Serif"/>
          <w:b w:val="false"/>
          <w:i w:val="false"/>
          <w:caps w:val="false"/>
          <w:smallCaps w:val="false"/>
          <w:sz w:val="20"/>
        </w:rPr>
        <w:t>3,500 square feet of office space in Weston, Florida for a term of five years. Under the lease agreement, the annual base rent, which excludes the Predecessor’s share of taxes and operating costs, is approximately $</w:t>
      </w:r>
      <w:bookmarkStart w:id="330" w:name="xdx_907_eus-gaap--SubleaseIncome_c201901"/>
      <w:bookmarkEnd w:id="330"/>
      <w:r>
        <w:rPr>
          <w:rFonts w:ascii="Times New Roman;Times;Serif" w:hAnsi="Times New Roman;Times;Serif"/>
          <w:b w:val="false"/>
          <w:i w:val="false"/>
          <w:caps w:val="false"/>
          <w:smallCaps w:val="false"/>
          <w:sz w:val="20"/>
        </w:rPr>
        <w:t>89,000 for the first year and increases approximately 3% every year thereafter for a total base rent lease commitment of approximately $</w:t>
      </w:r>
      <w:bookmarkStart w:id="331" w:name="xdx_90E_ecustom--LeaseBaseRentLeaseCommi"/>
      <w:bookmarkEnd w:id="331"/>
      <w:r>
        <w:rPr>
          <w:rFonts w:ascii="Times New Roman;Times;Serif" w:hAnsi="Times New Roman;Times;Serif"/>
          <w:b w:val="false"/>
          <w:i w:val="false"/>
          <w:caps w:val="false"/>
          <w:smallCaps w:val="false"/>
          <w:sz w:val="20"/>
        </w:rPr>
        <w:t>497,000.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332" w:name="xdx_905_eus-gaap--FinancialDesignationPr"/>
      <w:bookmarkEnd w:id="332"/>
      <w:r>
        <w:rPr>
          <w:rFonts w:ascii="Times New Roman;Times;Serif" w:hAnsi="Times New Roman;Times;Serif"/>
          <w:b w:val="false"/>
          <w:i w:val="false"/>
          <w:caps w:val="false"/>
          <w:smallCaps w:val="false"/>
          <w:sz w:val="20"/>
        </w:rPr>
        <w:t>Successor recognized right-of-use asset amortization of $</w:t>
      </w:r>
      <w:bookmarkStart w:id="333" w:name="xdx_90D_ecustom--OperatingLeaseAssetAmor"/>
      <w:bookmarkEnd w:id="333"/>
      <w:r>
        <w:rPr>
          <w:rFonts w:ascii="Times New Roman;Times;Serif" w:hAnsi="Times New Roman;Times;Serif"/>
          <w:b w:val="false"/>
          <w:i w:val="false"/>
          <w:caps w:val="false"/>
          <w:smallCaps w:val="false"/>
          <w:sz w:val="20"/>
        </w:rPr>
        <w:t>38,415 in connection with its operating lease for the three months ending March 31, 2023 and the Predecessor recognized rent expense of $</w:t>
      </w:r>
      <w:bookmarkStart w:id="334" w:name="xdx_904_eus-gaap--PaymentsForRent_c20220"/>
      <w:bookmarkEnd w:id="334"/>
      <w:r>
        <w:rPr>
          <w:rFonts w:ascii="Times New Roman;Times;Serif" w:hAnsi="Times New Roman;Times;Serif"/>
          <w:b w:val="false"/>
          <w:i w:val="false"/>
          <w:caps w:val="false"/>
          <w:smallCaps w:val="false"/>
          <w:sz w:val="20"/>
        </w:rPr>
        <w:t>38,141 in connection with its operating lease for the three months ending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5" w:name="xdx_898_eus-gaap--OperatingLeasesOfLesse"/>
      <w:bookmarkEnd w:id="335"/>
      <w:r>
        <w:rPr>
          <w:rFonts w:ascii="Times New Roman;Times;Serif" w:hAnsi="Times New Roman;Times;Serif"/>
          <w:b w:val="false"/>
          <w:i w:val="false"/>
          <w:caps w:val="false"/>
          <w:smallCaps w:val="false"/>
          <w:sz w:val="20"/>
        </w:rPr>
        <w:t>A summary of the Company’s right-of-use assets and liabilities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6" w:name="xdx_8B4_zF9lsHBfzUn8"/>
      <w:bookmarkEnd w:id="336"/>
      <w:r>
        <w:rPr>
          <w:rFonts w:ascii="Times New Roman;Times;Serif" w:hAnsi="Times New Roman;Times;Serif"/>
          <w:b w:val="false"/>
          <w:i w:val="false"/>
          <w:caps w:val="false"/>
          <w:smallCaps w:val="false"/>
          <w:sz w:val="20"/>
        </w:rPr>
        <w:t>Schedule of Right of Use Assets and Liabilities</w:t>
      </w:r>
    </w:p>
    <w:p>
      <w:pPr>
        <w:pStyle w:val="Normal"/>
        <w:bidi w:val="0"/>
        <w:spacing w:before="0" w:after="0"/>
        <w:jc w:val="left"/>
        <w:rPr>
          <w:sz w:val="4"/>
          <w:szCs w:val="4"/>
        </w:rPr>
      </w:pPr>
      <w:r>
        <w:rPr>
          <w:sz w:val="4"/>
          <w:szCs w:val="4"/>
        </w:rPr>
      </w:r>
      <w:bookmarkStart w:id="337" w:name="xdx_40F_eus-gaap--FinancialDesignationPr"/>
      <w:bookmarkStart w:id="338" w:name="xdx_40F_eus-gaap--FinancialDesignationPr"/>
      <w:bookmarkEnd w:id="338"/>
    </w:p>
    <w:tbl>
      <w:tblPr>
        <w:tblW w:w="10205" w:type="dxa"/>
        <w:jc w:val="left"/>
        <w:tblInd w:w="0" w:type="dxa"/>
        <w:tblLayout w:type="fixed"/>
        <w:tblCellMar>
          <w:top w:w="0" w:type="dxa"/>
          <w:left w:w="0" w:type="dxa"/>
          <w:bottom w:w="0" w:type="dxa"/>
          <w:right w:w="0" w:type="dxa"/>
        </w:tblCellMar>
      </w:tblPr>
      <w:tblGrid>
        <w:gridCol w:w="6584"/>
        <w:gridCol w:w="60"/>
        <w:gridCol w:w="209"/>
        <w:gridCol w:w="1316"/>
        <w:gridCol w:w="215"/>
        <w:gridCol w:w="60"/>
        <w:gridCol w:w="259"/>
        <w:gridCol w:w="1270"/>
        <w:gridCol w:w="232"/>
      </w:tblGrid>
      <w:tr>
        <w:trPr/>
        <w:tc>
          <w:tcPr>
            <w:tcW w:w="6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Designation, Predecessor and Successor [Fixed List]</w:t>
            </w:r>
          </w:p>
        </w:tc>
        <w:tc>
          <w:tcPr>
            <w:tcW w:w="60" w:type="dxa"/>
            <w:tcBorders/>
            <w:vAlign w:val="center"/>
          </w:tcPr>
          <w:p>
            <w:pPr>
              <w:pStyle w:val="TableContents"/>
              <w:bidi w:val="0"/>
              <w:spacing w:before="0" w:after="283"/>
              <w:jc w:val="left"/>
              <w:rPr/>
            </w:pPr>
            <w:r>
              <w:rPr/>
              <w:t> </w:t>
            </w:r>
            <w:bookmarkStart w:id="339" w:name="xdx_49F_20230101__20230331_zLKWSdok6bIh"/>
            <w:bookmarkEnd w:id="339"/>
          </w:p>
        </w:tc>
        <w:tc>
          <w:tcPr>
            <w:tcW w:w="15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0" w:name="xdx_49C_20220101__20220331__us-gaap--Fre"/>
            <w:bookmarkEnd w:id="340"/>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232" w:type="dxa"/>
            <w:tcBorders/>
            <w:vAlign w:val="center"/>
          </w:tcPr>
          <w:p>
            <w:pPr>
              <w:pStyle w:val="TableContents"/>
              <w:bidi w:val="0"/>
              <w:spacing w:before="0" w:after="283"/>
              <w:jc w:val="left"/>
              <w:rPr/>
            </w:pPr>
            <w:r>
              <w:rPr/>
              <w:t> </w:t>
            </w:r>
          </w:p>
        </w:tc>
      </w:tr>
      <w:tr>
        <w:trPr/>
        <w:tc>
          <w:tcPr>
            <w:tcW w:w="6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center"/>
              <w:rPr>
                <w:b/>
              </w:rPr>
            </w:pPr>
            <w:r>
              <w:rPr>
                <w:b/>
              </w:rPr>
              <w:t>For the Three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For the Three</w:t>
            </w:r>
          </w:p>
        </w:tc>
        <w:tc>
          <w:tcPr>
            <w:tcW w:w="232" w:type="dxa"/>
            <w:tcBorders/>
            <w:vAlign w:val="center"/>
          </w:tcPr>
          <w:p>
            <w:pPr>
              <w:pStyle w:val="TableContents"/>
              <w:bidi w:val="0"/>
              <w:spacing w:before="0" w:after="283"/>
              <w:jc w:val="left"/>
              <w:rPr/>
            </w:pPr>
            <w:r>
              <w:rPr/>
              <w:t> </w:t>
            </w:r>
          </w:p>
        </w:tc>
      </w:tr>
      <w:tr>
        <w:trPr/>
        <w:tc>
          <w:tcPr>
            <w:tcW w:w="6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center"/>
              <w:rPr>
                <w:b/>
              </w:rPr>
            </w:pPr>
            <w:r>
              <w:rPr>
                <w:b/>
              </w:rPr>
              <w:t>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Months Ended</w:t>
            </w:r>
          </w:p>
        </w:tc>
        <w:tc>
          <w:tcPr>
            <w:tcW w:w="232" w:type="dxa"/>
            <w:tcBorders/>
            <w:vAlign w:val="center"/>
          </w:tcPr>
          <w:p>
            <w:pPr>
              <w:pStyle w:val="TableContents"/>
              <w:bidi w:val="0"/>
              <w:spacing w:before="0" w:after="283"/>
              <w:jc w:val="left"/>
              <w:rPr/>
            </w:pPr>
            <w:r>
              <w:rPr/>
              <w:t> </w:t>
            </w:r>
          </w:p>
        </w:tc>
      </w:tr>
      <w:tr>
        <w:trPr/>
        <w:tc>
          <w:tcPr>
            <w:tcW w:w="6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center"/>
              <w:rPr>
                <w:b/>
              </w:rPr>
            </w:pPr>
            <w:r>
              <w:rPr>
                <w:b/>
              </w:rPr>
              <w:t>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March 31,</w:t>
            </w:r>
          </w:p>
        </w:tc>
        <w:tc>
          <w:tcPr>
            <w:tcW w:w="232" w:type="dxa"/>
            <w:tcBorders/>
            <w:vAlign w:val="center"/>
          </w:tcPr>
          <w:p>
            <w:pPr>
              <w:pStyle w:val="TableContents"/>
              <w:bidi w:val="0"/>
              <w:spacing w:before="0" w:after="283"/>
              <w:jc w:val="left"/>
              <w:rPr/>
            </w:pPr>
            <w:r>
              <w:rPr/>
              <w:t> </w:t>
            </w:r>
          </w:p>
        </w:tc>
      </w:tr>
      <w:tr>
        <w:trPr/>
        <w:tc>
          <w:tcPr>
            <w:tcW w:w="6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2" w:type="dxa"/>
            <w:tcBorders/>
            <w:vAlign w:val="center"/>
          </w:tcPr>
          <w:p>
            <w:pPr>
              <w:pStyle w:val="TableContents"/>
              <w:bidi w:val="0"/>
              <w:spacing w:before="0" w:after="283"/>
              <w:jc w:val="left"/>
              <w:rPr/>
            </w:pPr>
            <w:r>
              <w:rPr/>
              <w:t> </w:t>
            </w:r>
          </w:p>
        </w:tc>
      </w:tr>
      <w:tr>
        <w:trPr/>
        <w:tc>
          <w:tcPr>
            <w:tcW w:w="6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584"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bookmarkStart w:id="341" w:name="xdx_40E_eus-gaap--OperatingLeasePayments"/>
            <w:bookmarkEnd w:id="341"/>
          </w:p>
        </w:tc>
      </w:tr>
      <w:tr>
        <w:trPr/>
        <w:tc>
          <w:tcPr>
            <w:tcW w:w="6584" w:type="dxa"/>
            <w:tcBorders/>
            <w:shd w:fill="FFFFFF" w:val="clear"/>
            <w:vAlign w:val="center"/>
          </w:tcPr>
          <w:p>
            <w:pPr>
              <w:pStyle w:val="TableContents"/>
              <w:bidi w:val="0"/>
              <w:spacing w:before="0" w:after="283"/>
              <w:jc w:val="left"/>
              <w:rPr/>
            </w:pPr>
            <w:r>
              <w:rPr/>
              <w:t>Operating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316" w:type="dxa"/>
            <w:tcBorders/>
            <w:shd w:fill="FFFFFF" w:val="clear"/>
            <w:vAlign w:val="center"/>
          </w:tcPr>
          <w:p>
            <w:pPr>
              <w:pStyle w:val="TableContents"/>
              <w:bidi w:val="0"/>
              <w:spacing w:before="0" w:after="283"/>
              <w:jc w:val="right"/>
              <w:rPr/>
            </w:pPr>
            <w:r>
              <w:rPr/>
              <w:t>24,248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22,028</w:t>
            </w:r>
          </w:p>
        </w:tc>
        <w:tc>
          <w:tcPr>
            <w:tcW w:w="232" w:type="dxa"/>
            <w:tcBorders/>
            <w:shd w:fill="FFFFFF" w:val="clear"/>
            <w:vAlign w:val="center"/>
          </w:tcPr>
          <w:p>
            <w:pPr>
              <w:pStyle w:val="TableContents"/>
              <w:bidi w:val="0"/>
              <w:spacing w:before="0" w:after="283"/>
              <w:jc w:val="left"/>
              <w:rPr/>
            </w:pPr>
            <w:r>
              <w:rPr/>
              <w:t> </w:t>
            </w:r>
          </w:p>
        </w:tc>
      </w:tr>
      <w:tr>
        <w:trPr/>
        <w:tc>
          <w:tcPr>
            <w:tcW w:w="65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84" w:type="dxa"/>
            <w:tcBorders/>
            <w:shd w:fill="FFFFFF" w:val="clear"/>
            <w:vAlign w:val="center"/>
          </w:tcPr>
          <w:p>
            <w:pPr>
              <w:pStyle w:val="TableContents"/>
              <w:bidi w:val="0"/>
              <w:spacing w:before="0" w:after="283"/>
              <w:jc w:val="left"/>
              <w:rPr/>
            </w:pPr>
            <w:r>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bookmarkStart w:id="342" w:name="xdx_40B_eus-gaap--RightOfUseAssetObtaine"/>
            <w:bookmarkEnd w:id="342"/>
          </w:p>
        </w:tc>
      </w:tr>
      <w:tr>
        <w:trPr/>
        <w:tc>
          <w:tcPr>
            <w:tcW w:w="6584" w:type="dxa"/>
            <w:tcBorders/>
            <w:shd w:fill="CCEEFF" w:val="clear"/>
            <w:vAlign w:val="center"/>
          </w:tcPr>
          <w:p>
            <w:pPr>
              <w:pStyle w:val="TableContents"/>
              <w:bidi w:val="0"/>
              <w:spacing w:before="0" w:after="283"/>
              <w:jc w:val="left"/>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65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84"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84" w:type="dxa"/>
            <w:tcBorders/>
            <w:shd w:fill="FFFFFF" w:val="clear"/>
            <w:vAlign w:val="center"/>
          </w:tcPr>
          <w:p>
            <w:pPr>
              <w:pStyle w:val="TableContents"/>
              <w:bidi w:val="0"/>
              <w:spacing w:before="0" w:after="283"/>
              <w:jc w:val="left"/>
              <w:rPr/>
            </w:pPr>
            <w:r>
              <w:rPr/>
              <w:t>Operating leases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sz w:val="20"/>
              </w:rPr>
            </w:pPr>
            <w:bookmarkStart w:id="343" w:name="xdx_90F_eus-gaap--OperatingLeaseWeighted"/>
            <w:bookmarkEnd w:id="343"/>
            <w:r>
              <w:rPr>
                <w:rFonts w:ascii="Times New Roman;Times;Serif" w:hAnsi="Times New Roman;Times;Serif"/>
                <w:sz w:val="20"/>
              </w:rPr>
              <w:t>0.84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sz w:val="20"/>
              </w:rPr>
            </w:pPr>
            <w:bookmarkStart w:id="344" w:name="xdx_90C_eus-gaap--OperatingLeaseWeighted"/>
            <w:bookmarkEnd w:id="344"/>
            <w:r>
              <w:rPr>
                <w:rFonts w:ascii="Times New Roman;Times;Serif" w:hAnsi="Times New Roman;Times;Serif"/>
                <w:sz w:val="20"/>
              </w:rPr>
              <w:t>1.84 Years</w:t>
            </w:r>
          </w:p>
        </w:tc>
        <w:tc>
          <w:tcPr>
            <w:tcW w:w="232" w:type="dxa"/>
            <w:tcBorders/>
            <w:shd w:fill="FFFFFF" w:val="clear"/>
            <w:vAlign w:val="center"/>
          </w:tcPr>
          <w:p>
            <w:pPr>
              <w:pStyle w:val="TableContents"/>
              <w:bidi w:val="0"/>
              <w:spacing w:before="0" w:after="283"/>
              <w:jc w:val="left"/>
              <w:rPr/>
            </w:pPr>
            <w:r>
              <w:rPr/>
              <w:t> </w:t>
            </w:r>
          </w:p>
        </w:tc>
      </w:tr>
      <w:tr>
        <w:trPr/>
        <w:tc>
          <w:tcPr>
            <w:tcW w:w="65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84"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6584" w:type="dxa"/>
            <w:tcBorders/>
            <w:shd w:fill="CCEEFF" w:val="clear"/>
            <w:vAlign w:val="center"/>
          </w:tcPr>
          <w:p>
            <w:pPr>
              <w:pStyle w:val="TableContents"/>
              <w:bidi w:val="0"/>
              <w:spacing w:before="0" w:after="283"/>
              <w:jc w:val="left"/>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345" w:name="xdx_985_eus-gaap--OperatingLeaseWeighted"/>
            <w:bookmarkEnd w:id="345"/>
          </w:p>
        </w:tc>
        <w:tc>
          <w:tcPr>
            <w:tcW w:w="1316" w:type="dxa"/>
            <w:tcBorders/>
            <w:shd w:fill="CCEEFF" w:val="clear"/>
            <w:vAlign w:val="center"/>
          </w:tcPr>
          <w:p>
            <w:pPr>
              <w:pStyle w:val="TableContents"/>
              <w:bidi w:val="0"/>
              <w:spacing w:before="0" w:after="283"/>
              <w:jc w:val="right"/>
              <w:rPr/>
            </w:pPr>
            <w:r>
              <w:rPr/>
              <w:t>6.5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bookmarkStart w:id="346" w:name="xdx_984_eus-gaap--OperatingLeaseWeighted"/>
            <w:bookmarkEnd w:id="346"/>
          </w:p>
        </w:tc>
        <w:tc>
          <w:tcPr>
            <w:tcW w:w="1270" w:type="dxa"/>
            <w:tcBorders/>
            <w:shd w:fill="CCEEFF" w:val="clear"/>
            <w:vAlign w:val="center"/>
          </w:tcPr>
          <w:p>
            <w:pPr>
              <w:pStyle w:val="TableContents"/>
              <w:bidi w:val="0"/>
              <w:spacing w:before="0" w:after="283"/>
              <w:jc w:val="right"/>
              <w:rPr/>
            </w:pPr>
            <w:r>
              <w:rPr/>
              <w:t>6.5</w:t>
            </w:r>
          </w:p>
        </w:tc>
        <w:tc>
          <w:tcPr>
            <w:tcW w:w="23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47" w:name="xdx_8AD_z6puoqd7T7P"/>
      <w:bookmarkEnd w:id="3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8" w:name="xdx_894_eus-gaap--LesseeOperatingLeaseLi"/>
      <w:bookmarkEnd w:id="348"/>
      <w:r>
        <w:rPr>
          <w:rFonts w:ascii="Times New Roman;Times;Serif" w:hAnsi="Times New Roman;Times;Serif"/>
          <w:b w:val="false"/>
          <w:i w:val="false"/>
          <w:caps w:val="false"/>
          <w:smallCaps w:val="false"/>
          <w:sz w:val="20"/>
        </w:rPr>
        <w:t>Future minimum payments under these operating lease agreements are as follows:</w:t>
      </w:r>
    </w:p>
    <w:p>
      <w:pPr>
        <w:pStyle w:val="TextBody"/>
        <w:bidi w:val="0"/>
        <w:spacing w:before="0" w:after="0"/>
        <w:ind w:left="0" w:right="0" w:hanging="0"/>
        <w:jc w:val="both"/>
        <w:rPr>
          <w:caps w:val="false"/>
          <w:smallCaps w:val="false"/>
        </w:rPr>
      </w:pPr>
      <w:r>
        <w:rPr>
          <w:caps w:val="false"/>
          <w:smallCaps w:val="false"/>
        </w:rPr>
        <w:t> </w:t>
      </w:r>
      <w:bookmarkStart w:id="349" w:name="xdx_8B0_z2a3ks3VoBii"/>
      <w:bookmarkEnd w:id="349"/>
      <w:r>
        <w:rPr>
          <w:rFonts w:ascii="Times New Roman;Times;Serif" w:hAnsi="Times New Roman;Times;Serif"/>
          <w:b w:val="false"/>
          <w:i w:val="false"/>
          <w:caps w:val="false"/>
          <w:smallCaps w:val="false"/>
          <w:sz w:val="20"/>
        </w:rPr>
        <w:t>Schedule of Future Minimum Payments Under Lease</w:t>
      </w:r>
    </w:p>
    <w:tbl>
      <w:tblPr>
        <w:tblW w:w="5100" w:type="dxa"/>
        <w:jc w:val="left"/>
        <w:tblInd w:w="0" w:type="dxa"/>
        <w:tblLayout w:type="fixed"/>
        <w:tblCellMar>
          <w:top w:w="0" w:type="dxa"/>
          <w:left w:w="0" w:type="dxa"/>
          <w:bottom w:w="0" w:type="dxa"/>
          <w:right w:w="0" w:type="dxa"/>
        </w:tblCellMar>
      </w:tblPr>
      <w:tblGrid>
        <w:gridCol w:w="4070"/>
        <w:gridCol w:w="60"/>
        <w:gridCol w:w="146"/>
        <w:gridCol w:w="714"/>
        <w:gridCol w:w="11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0" w:name="xdx_49C_20230331_zU0582mQuwD8"/>
            <w:bookmarkEnd w:id="350"/>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351" w:name="xdx_40A_eus-gaap--LesseeOperatingLeaseLi"/>
            <w:bookmarkEnd w:id="351"/>
          </w:p>
        </w:tc>
      </w:tr>
      <w:tr>
        <w:trPr/>
        <w:tc>
          <w:tcPr>
            <w:tcW w:w="4070" w:type="dxa"/>
            <w:tcBorders/>
            <w:shd w:fill="CCEEFF" w:val="clear"/>
            <w:vAlign w:val="center"/>
          </w:tcPr>
          <w:p>
            <w:pPr>
              <w:pStyle w:val="TableContents"/>
              <w:bidi w:val="0"/>
              <w:spacing w:before="0" w:after="283"/>
              <w:jc w:val="left"/>
              <w:rPr/>
            </w:pPr>
            <w:r>
              <w:rPr/>
              <w:t>April 1, 2023 to December 31, 2023</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87,054</w:t>
            </w:r>
          </w:p>
        </w:tc>
        <w:tc>
          <w:tcPr>
            <w:tcW w:w="110" w:type="dxa"/>
            <w:tcBorders/>
            <w:shd w:fill="CCEEFF" w:val="clear"/>
            <w:vAlign w:val="center"/>
          </w:tcPr>
          <w:p>
            <w:pPr>
              <w:pStyle w:val="TableContents"/>
              <w:bidi w:val="0"/>
              <w:spacing w:before="0" w:after="283"/>
              <w:jc w:val="left"/>
              <w:rPr/>
            </w:pPr>
            <w:r>
              <w:rPr/>
              <w:t> </w:t>
            </w:r>
            <w:bookmarkStart w:id="352" w:name="xdx_405_eus-gaap--LesseeOperatingLeaseLi"/>
            <w:bookmarkEnd w:id="352"/>
          </w:p>
        </w:tc>
      </w:tr>
      <w:tr>
        <w:trPr/>
        <w:tc>
          <w:tcPr>
            <w:tcW w:w="4070" w:type="dxa"/>
            <w:tcBorders/>
            <w:shd w:fill="FFFFFF" w:val="clear"/>
            <w:vAlign w:val="center"/>
          </w:tcPr>
          <w:p>
            <w:pPr>
              <w:pStyle w:val="TableContents"/>
              <w:bidi w:val="0"/>
              <w:spacing w:before="0" w:after="283"/>
              <w:jc w:val="left"/>
              <w:rPr/>
            </w:pPr>
            <w:r>
              <w:rPr/>
              <w:t>Less: amount representing imputed interest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bidi w:val="0"/>
              <w:spacing w:before="0" w:after="283"/>
              <w:jc w:val="right"/>
              <w:rPr/>
            </w:pPr>
            <w:r>
              <w:rPr/>
              <w:t>(2,547</w:t>
            </w:r>
          </w:p>
        </w:tc>
        <w:tc>
          <w:tcPr>
            <w:tcW w:w="110" w:type="dxa"/>
            <w:tcBorders/>
            <w:shd w:fill="FFFFFF" w:val="clear"/>
            <w:vAlign w:val="center"/>
          </w:tcPr>
          <w:p>
            <w:pPr>
              <w:pStyle w:val="TableContents"/>
              <w:bidi w:val="0"/>
              <w:spacing w:before="0" w:after="283"/>
              <w:jc w:val="left"/>
              <w:rPr/>
            </w:pPr>
            <w:r>
              <w:rPr/>
              <w:t>)</w:t>
            </w:r>
            <w:bookmarkStart w:id="353" w:name="xdx_404_eus-gaap--LesseeOperatingLeaseLi"/>
            <w:bookmarkEnd w:id="353"/>
          </w:p>
        </w:tc>
      </w:tr>
      <w:tr>
        <w:trPr/>
        <w:tc>
          <w:tcPr>
            <w:tcW w:w="40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pPr>
            <w:r>
              <w:rPr/>
              <w:t>84,507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4" w:name="xdx_8A1_zbnrsCaFRgIj"/>
      <w:bookmarkEnd w:id="35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5" w:name="xdx_803_eus-gaap--StockholdersEquityNote"/>
      <w:bookmarkEnd w:id="355"/>
      <w:r>
        <w:rPr>
          <w:rFonts w:ascii="Times New Roman;Times;Serif" w:hAnsi="Times New Roman;Times;Serif"/>
          <w:b/>
          <w:i w:val="false"/>
          <w:caps w:val="false"/>
          <w:smallCaps w:val="false"/>
          <w:sz w:val="20"/>
        </w:rPr>
        <w:t xml:space="preserve">Note 8 – </w:t>
      </w:r>
      <w:bookmarkStart w:id="356" w:name="xdx_829_zXAGzSfUpHv3"/>
      <w:bookmarkEnd w:id="356"/>
      <w:r>
        <w:rPr>
          <w:rFonts w:ascii="Times New Roman;Times;Serif" w:hAnsi="Times New Roman;Times;Serif"/>
          <w:b/>
          <w:i w:val="false"/>
          <w:caps w:val="false"/>
          <w:smallCaps w:val="false"/>
          <w:sz w:val="20"/>
        </w:rPr>
        <w:t>Stockholders’ Permanent and Temporary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2023, the Company entered into marketing agreements with two vendors in which the Company issued an aggregate of </w:t>
      </w:r>
      <w:bookmarkStart w:id="357" w:name="xdx_90C_eus-gaap--SharesIssued_iI_pp0p0_"/>
      <w:bookmarkEnd w:id="357"/>
      <w:r>
        <w:rPr>
          <w:rFonts w:ascii="Times New Roman;Times;Serif" w:hAnsi="Times New Roman;Times;Serif"/>
          <w:b w:val="false"/>
          <w:i w:val="false"/>
          <w:caps w:val="false"/>
          <w:smallCaps w:val="false"/>
          <w:sz w:val="20"/>
        </w:rPr>
        <w:t>130,000 shares of common stock and cash in exchange for marketing services. The $</w:t>
      </w:r>
      <w:bookmarkStart w:id="358" w:name="xdx_90A_eus-gaap--StockIssued1_pp0p0_c20"/>
      <w:bookmarkEnd w:id="358"/>
      <w:r>
        <w:rPr>
          <w:rFonts w:ascii="Times New Roman;Times;Serif" w:hAnsi="Times New Roman;Times;Serif"/>
          <w:b w:val="false"/>
          <w:i w:val="false"/>
          <w:caps w:val="false"/>
          <w:smallCaps w:val="false"/>
          <w:sz w:val="20"/>
        </w:rPr>
        <w:t>395,200 fair value of the common stock was established as a prepaid expense and the Company will recognize the expense over the terms of the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Temporary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 Commitments and Contingencies for discussion of the movement of temporary equity to permanent equity on March 29,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2023 the </w:t>
      </w:r>
      <w:bookmarkStart w:id="359" w:name="xdx_90F_eus-gaap--FinancialDesignationPr"/>
      <w:bookmarkEnd w:id="359"/>
      <w:r>
        <w:rPr>
          <w:rFonts w:ascii="Times New Roman;Times;Serif" w:hAnsi="Times New Roman;Times;Serif"/>
          <w:b w:val="false"/>
          <w:i w:val="false"/>
          <w:caps w:val="false"/>
          <w:smallCaps w:val="false"/>
          <w:sz w:val="20"/>
        </w:rPr>
        <w:t>Successor recorded stock-based compensation expense of $</w:t>
      </w:r>
      <w:bookmarkStart w:id="360" w:name="xdx_90D_eus-gaap--AllocatedShareBasedCom"/>
      <w:bookmarkEnd w:id="360"/>
      <w:r>
        <w:rPr>
          <w:rFonts w:ascii="Times New Roman;Times;Serif" w:hAnsi="Times New Roman;Times;Serif"/>
          <w:b w:val="false"/>
          <w:i w:val="false"/>
          <w:caps w:val="false"/>
          <w:smallCaps w:val="false"/>
          <w:sz w:val="20"/>
        </w:rPr>
        <w:t>287,461 (of which, $</w:t>
      </w:r>
      <w:bookmarkStart w:id="361" w:name="xdx_906_eus-gaap--AllocatedShareBasedCom"/>
      <w:bookmarkEnd w:id="361"/>
      <w:r>
        <w:rPr>
          <w:rFonts w:ascii="Times New Roman;Times;Serif" w:hAnsi="Times New Roman;Times;Serif"/>
          <w:b w:val="false"/>
          <w:i w:val="false"/>
          <w:caps w:val="false"/>
          <w:smallCaps w:val="false"/>
          <w:sz w:val="20"/>
        </w:rPr>
        <w:t>49,455 was included in research and development and $</w:t>
      </w:r>
      <w:bookmarkStart w:id="362" w:name="xdx_90B_eus-gaap--AllocatedShareBasedCom"/>
      <w:bookmarkEnd w:id="362"/>
      <w:r>
        <w:rPr>
          <w:rFonts w:ascii="Times New Roman;Times;Serif" w:hAnsi="Times New Roman;Times;Serif"/>
          <w:b w:val="false"/>
          <w:i w:val="false"/>
          <w:caps w:val="false"/>
          <w:smallCaps w:val="false"/>
          <w:sz w:val="20"/>
        </w:rPr>
        <w:t>238,006 was included in general and administrative expense) related to options issued to employees and consultants. For the three months ended March 31, 2022, the Predecessor recorded stock-based compensation expense of $</w:t>
      </w:r>
      <w:bookmarkStart w:id="363" w:name="xdx_90C_eus-gaap--AllocatedShareBasedCom"/>
      <w:bookmarkEnd w:id="363"/>
      <w:r>
        <w:rPr>
          <w:rFonts w:ascii="Times New Roman;Times;Serif" w:hAnsi="Times New Roman;Times;Serif"/>
          <w:b w:val="false"/>
          <w:i w:val="false"/>
          <w:caps w:val="false"/>
          <w:smallCaps w:val="false"/>
          <w:sz w:val="20"/>
        </w:rPr>
        <w:t>1,941,746 (of which $</w:t>
      </w:r>
      <w:bookmarkStart w:id="364" w:name="xdx_90C_eus-gaap--AllocatedShareBasedCom"/>
      <w:bookmarkEnd w:id="364"/>
      <w:r>
        <w:rPr>
          <w:rFonts w:ascii="Times New Roman;Times;Serif" w:hAnsi="Times New Roman;Times;Serif"/>
          <w:b w:val="false"/>
          <w:i w:val="false"/>
          <w:caps w:val="false"/>
          <w:smallCaps w:val="false"/>
          <w:sz w:val="20"/>
        </w:rPr>
        <w:t>307,838 was included in research and development and $</w:t>
      </w:r>
      <w:bookmarkStart w:id="365" w:name="xdx_902_eus-gaap--AllocatedShareBasedCom"/>
      <w:bookmarkEnd w:id="365"/>
      <w:r>
        <w:rPr>
          <w:rFonts w:ascii="Times New Roman;Times;Serif" w:hAnsi="Times New Roman;Times;Serif"/>
          <w:b w:val="false"/>
          <w:i w:val="false"/>
          <w:caps w:val="false"/>
          <w:smallCaps w:val="false"/>
          <w:sz w:val="20"/>
        </w:rPr>
        <w:t>1,633,908 was included in general and administrative expense) related to options issued to employees and consultants. As of March 31, 2023 there was $</w:t>
      </w:r>
      <w:bookmarkStart w:id="366" w:name="xdx_907_eus-gaap--EmployeeServiceShareBa"/>
      <w:bookmarkEnd w:id="366"/>
      <w:r>
        <w:rPr>
          <w:rFonts w:ascii="Times New Roman;Times;Serif" w:hAnsi="Times New Roman;Times;Serif"/>
          <w:b w:val="false"/>
          <w:i w:val="false"/>
          <w:caps w:val="false"/>
          <w:smallCaps w:val="false"/>
          <w:sz w:val="20"/>
        </w:rPr>
        <w:t xml:space="preserve">1,595,639 of unrecognized stock-based compensation expense, which the Company expects to recognize over a weighted average period of </w:t>
      </w:r>
      <w:bookmarkStart w:id="367" w:name="xdx_90F_eus-gaap--SharebasedCompensation"/>
      <w:bookmarkEnd w:id="367"/>
      <w:r>
        <w:rPr>
          <w:rFonts w:ascii="Times New Roman;Times;Serif" w:hAnsi="Times New Roman;Times;Serif"/>
          <w:b w:val="false"/>
          <w:i w:val="false"/>
          <w:caps w:val="false"/>
          <w:smallCaps w:val="false"/>
          <w:sz w:val="20"/>
        </w:rPr>
        <w:t>1.6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27, 2023, the Company granted </w:t>
      </w:r>
      <w:bookmarkStart w:id="368" w:name="xdx_907_eus-gaap--ShareBasedCompensation"/>
      <w:bookmarkEnd w:id="368"/>
      <w:r>
        <w:rPr>
          <w:rFonts w:ascii="Times New Roman;Times;Serif" w:hAnsi="Times New Roman;Times;Serif"/>
          <w:b w:val="false"/>
          <w:i w:val="false"/>
          <w:caps w:val="false"/>
          <w:smallCaps w:val="false"/>
          <w:sz w:val="20"/>
        </w:rPr>
        <w:t xml:space="preserve">ten-year stock options to purchase </w:t>
      </w:r>
      <w:bookmarkStart w:id="369" w:name="xdx_90A_eus-gaap--ShareBasedCompensation"/>
      <w:bookmarkEnd w:id="369"/>
      <w:r>
        <w:rPr>
          <w:rFonts w:ascii="Times New Roman;Times;Serif" w:hAnsi="Times New Roman;Times;Serif"/>
          <w:b w:val="false"/>
          <w:i w:val="false"/>
          <w:caps w:val="false"/>
          <w:smallCaps w:val="false"/>
          <w:sz w:val="20"/>
        </w:rPr>
        <w:t xml:space="preserve">100,000 shares of </w:t>
      </w:r>
      <w:bookmarkStart w:id="370" w:name="xdx_90C_eus-gaap--FinancialDesignationPr"/>
      <w:bookmarkEnd w:id="370"/>
      <w:r>
        <w:rPr>
          <w:rFonts w:ascii="Times New Roman;Times;Serif" w:hAnsi="Times New Roman;Times;Serif"/>
          <w:b w:val="false"/>
          <w:i w:val="false"/>
          <w:caps w:val="false"/>
          <w:smallCaps w:val="false"/>
          <w:sz w:val="20"/>
        </w:rPr>
        <w:t>Successor common stock, with an aggregate grant date value of $</w:t>
      </w:r>
      <w:bookmarkStart w:id="371" w:name="xdx_900_eus-gaap--ShareBasedCompensation"/>
      <w:bookmarkEnd w:id="371"/>
      <w:r>
        <w:rPr>
          <w:rFonts w:ascii="Times New Roman;Times;Serif" w:hAnsi="Times New Roman;Times;Serif"/>
          <w:b w:val="false"/>
          <w:i w:val="false"/>
          <w:caps w:val="false"/>
          <w:smallCaps w:val="false"/>
          <w:sz w:val="20"/>
        </w:rPr>
        <w:t xml:space="preserve">184,426 to its newly appointed Chief Medical Officer and Senior Vice President of Medical Affairs as inducement for entering into employment with the Company in accordance with Nasdaq Listing Rule 5635(c)(4) under the 2022 Plan. The stock options vest annually over </w:t>
      </w:r>
      <w:bookmarkStart w:id="372" w:name="xdx_908_ecustom--SharebasedCompensationA"/>
      <w:bookmarkEnd w:id="372"/>
      <w:r>
        <w:rPr>
          <w:rFonts w:ascii="Times New Roman;Times;Serif" w:hAnsi="Times New Roman;Times;Serif"/>
          <w:b w:val="false"/>
          <w:i w:val="false"/>
          <w:caps w:val="false"/>
          <w:smallCaps w:val="false"/>
          <w:sz w:val="20"/>
        </w:rPr>
        <w:t>three years and have an exercise price of $</w:t>
      </w:r>
      <w:bookmarkStart w:id="373" w:name="xdx_906_eus-gaap--SharebasedCompensation"/>
      <w:bookmarkEnd w:id="373"/>
      <w:r>
        <w:rPr>
          <w:rFonts w:ascii="Times New Roman;Times;Serif" w:hAnsi="Times New Roman;Times;Serif"/>
          <w:b w:val="false"/>
          <w:i w:val="false"/>
          <w:caps w:val="false"/>
          <w:smallCaps w:val="false"/>
          <w:sz w:val="20"/>
        </w:rPr>
        <w:t>2.11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2023, the Company granted </w:t>
      </w:r>
      <w:bookmarkStart w:id="374" w:name="xdx_90A_eus-gaap--ShareBasedCompensation"/>
      <w:bookmarkEnd w:id="374"/>
      <w:r>
        <w:rPr>
          <w:rFonts w:ascii="Times New Roman;Times;Serif" w:hAnsi="Times New Roman;Times;Serif"/>
          <w:b w:val="false"/>
          <w:i w:val="false"/>
          <w:caps w:val="false"/>
          <w:smallCaps w:val="false"/>
          <w:sz w:val="20"/>
        </w:rPr>
        <w:t xml:space="preserve">ten-year stock options to purchase </w:t>
      </w:r>
      <w:bookmarkStart w:id="375" w:name="xdx_90C_eus-gaap--ShareBasedCompensation"/>
      <w:bookmarkEnd w:id="375"/>
      <w:r>
        <w:rPr>
          <w:rFonts w:ascii="Times New Roman;Times;Serif" w:hAnsi="Times New Roman;Times;Serif"/>
          <w:b w:val="false"/>
          <w:i w:val="false"/>
          <w:caps w:val="false"/>
          <w:smallCaps w:val="false"/>
          <w:sz w:val="20"/>
        </w:rPr>
        <w:t>13,000 shares of Successor common stock to employees of the Company under the 2022 Omnibus Equity Incentive Plan (the “2022 Plan”). The stock options have an aggregate grant date value of $</w:t>
      </w:r>
      <w:bookmarkStart w:id="376" w:name="xdx_90A_eus-gaap--ShareBasedCompensation"/>
      <w:bookmarkEnd w:id="376"/>
      <w:r>
        <w:rPr>
          <w:rFonts w:ascii="Times New Roman;Times;Serif" w:hAnsi="Times New Roman;Times;Serif"/>
          <w:b w:val="false"/>
          <w:i w:val="false"/>
          <w:caps w:val="false"/>
          <w:smallCaps w:val="false"/>
          <w:sz w:val="20"/>
        </w:rPr>
        <w:t xml:space="preserve">23,770, vest annually over </w:t>
      </w:r>
      <w:bookmarkStart w:id="377" w:name="xdx_906_eus-gaap--ShareBasedCompensation"/>
      <w:bookmarkEnd w:id="377"/>
      <w:r>
        <w:rPr>
          <w:rFonts w:ascii="Times New Roman;Times;Serif" w:hAnsi="Times New Roman;Times;Serif"/>
          <w:b w:val="false"/>
          <w:i w:val="false"/>
          <w:caps w:val="false"/>
          <w:smallCaps w:val="false"/>
          <w:sz w:val="20"/>
        </w:rPr>
        <w:t>three years and have an exercise price of $</w:t>
      </w:r>
      <w:bookmarkStart w:id="378" w:name="xdx_905_eus-gaap--SharebasedCompensation"/>
      <w:bookmarkEnd w:id="378"/>
      <w:r>
        <w:rPr>
          <w:rFonts w:ascii="Times New Roman;Times;Serif" w:hAnsi="Times New Roman;Times;Serif"/>
          <w:b w:val="false"/>
          <w:i w:val="false"/>
          <w:caps w:val="false"/>
          <w:smallCaps w:val="false"/>
          <w:sz w:val="20"/>
        </w:rPr>
        <w:t xml:space="preserve">2.26 per share. Of the </w:t>
      </w:r>
      <w:bookmarkStart w:id="379" w:name="xdx_90C_eus-gaap--ShareBasedCompensation"/>
      <w:bookmarkEnd w:id="379"/>
      <w:r>
        <w:rPr>
          <w:rFonts w:ascii="Times New Roman;Times;Serif" w:hAnsi="Times New Roman;Times;Serif"/>
          <w:b w:val="false"/>
          <w:i w:val="false"/>
          <w:caps w:val="false"/>
          <w:smallCaps w:val="false"/>
          <w:sz w:val="20"/>
        </w:rPr>
        <w:t xml:space="preserve">13,000 shares, </w:t>
      </w:r>
      <w:bookmarkStart w:id="380" w:name="xdx_904_eus-gaap--SharesIssued_iI_c20230"/>
      <w:bookmarkEnd w:id="380"/>
      <w:r>
        <w:rPr>
          <w:rFonts w:ascii="Times New Roman;Times;Serif" w:hAnsi="Times New Roman;Times;Serif"/>
          <w:b w:val="false"/>
          <w:i w:val="false"/>
          <w:caps w:val="false"/>
          <w:smallCaps w:val="false"/>
          <w:sz w:val="20"/>
        </w:rPr>
        <w:t>5,000 shares were issued to the son of an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1" w:name="xdx_89A_eus-gaap--DisclosureOfShareBased"/>
      <w:bookmarkEnd w:id="381"/>
      <w:r>
        <w:rPr>
          <w:rFonts w:ascii="Times New Roman;Times;Serif" w:hAnsi="Times New Roman;Times;Serif"/>
          <w:b w:val="false"/>
          <w:i w:val="false"/>
          <w:caps w:val="false"/>
          <w:smallCaps w:val="false"/>
          <w:sz w:val="20"/>
        </w:rPr>
        <w:t>The grant date fair value of stock options granted during the three months ended March 31, 2023 and 2022 was determined using the Black Scholes method, with the following assumptions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2" w:name="xdx_8BD_z0aICYiZJyC1"/>
      <w:bookmarkEnd w:id="382"/>
      <w:r>
        <w:rPr>
          <w:rFonts w:ascii="Times New Roman;Times;Serif" w:hAnsi="Times New Roman;Times;Serif"/>
          <w:b w:val="false"/>
          <w:i w:val="false"/>
          <w:caps w:val="false"/>
          <w:smallCaps w:val="false"/>
          <w:sz w:val="20"/>
        </w:rPr>
        <w:t>Schedule of Stock Options Granted</w:t>
      </w:r>
    </w:p>
    <w:tbl>
      <w:tblPr>
        <w:tblW w:w="7543" w:type="dxa"/>
        <w:jc w:val="left"/>
        <w:tblInd w:w="0" w:type="dxa"/>
        <w:tblLayout w:type="fixed"/>
        <w:tblCellMar>
          <w:top w:w="0" w:type="dxa"/>
          <w:left w:w="0" w:type="dxa"/>
          <w:bottom w:w="0" w:type="dxa"/>
          <w:right w:w="0" w:type="dxa"/>
        </w:tblCellMar>
      </w:tblPr>
      <w:tblGrid>
        <w:gridCol w:w="4220"/>
        <w:gridCol w:w="60"/>
        <w:gridCol w:w="71"/>
        <w:gridCol w:w="1463"/>
        <w:gridCol w:w="60"/>
        <w:gridCol w:w="60"/>
        <w:gridCol w:w="71"/>
        <w:gridCol w:w="1463"/>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3" w:name="xdx_989_eus-gaap--FinancialDesignationPr"/>
            <w:bookmarkEnd w:id="383"/>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4" w:name="xdx_982_eus-gaap--FinancialDesignationPr"/>
            <w:bookmarkEnd w:id="384"/>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Fair value of common stock on date of grant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385" w:name="xdx_90E_eus-gaap--ShareBasedCompensation"/>
            <w:bookmarkEnd w:id="385"/>
            <w:r>
              <w:rPr>
                <w:rFonts w:ascii="Times New Roman;Times;Serif" w:hAnsi="Times New Roman;Times;Serif"/>
                <w:sz w:val="20"/>
              </w:rPr>
              <w:t>2.11 - $</w:t>
            </w:r>
            <w:bookmarkStart w:id="386" w:name="xdx_90C_eus-gaap--ShareBasedCompensation"/>
            <w:bookmarkEnd w:id="386"/>
            <w:r>
              <w:rPr>
                <w:rFonts w:ascii="Times New Roman;Times;Serif" w:hAnsi="Times New Roman;Times;Serif"/>
                <w:sz w:val="20"/>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63" w:type="dxa"/>
            <w:tcBorders/>
            <w:shd w:fill="CCEEFF" w:val="clear"/>
            <w:vAlign w:val="center"/>
          </w:tcPr>
          <w:p>
            <w:pPr>
              <w:pStyle w:val="TableContents"/>
              <w:bidi w:val="0"/>
              <w:spacing w:before="0" w:after="283"/>
              <w:jc w:val="center"/>
              <w:rPr/>
            </w:pPr>
            <w:r>
              <w:rPr/>
              <w:t>$</w:t>
            </w:r>
            <w:bookmarkStart w:id="387" w:name="xdx_90E_eus-gaap--ShareBasedCompensation"/>
            <w:bookmarkEnd w:id="387"/>
            <w:r>
              <w:rPr/>
              <w:t>3.00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center"/>
              <w:rPr>
                <w:rFonts w:ascii="Times New Roman;Times;Serif" w:hAnsi="Times New Roman;Times;Serif"/>
                <w:sz w:val="20"/>
              </w:rPr>
            </w:pPr>
            <w:bookmarkStart w:id="388" w:name="xdx_90E_eus-gaap--ShareBasedCompensation"/>
            <w:bookmarkEnd w:id="388"/>
            <w:r>
              <w:rPr>
                <w:rFonts w:ascii="Times New Roman;Times;Serif" w:hAnsi="Times New Roman;Times;Serif"/>
                <w:sz w:val="20"/>
              </w:rPr>
              <w:t xml:space="preserve">3.53% - </w:t>
            </w:r>
            <w:bookmarkStart w:id="389" w:name="xdx_904_eus-gaap--ShareBasedCompensation"/>
            <w:bookmarkEnd w:id="389"/>
            <w:r>
              <w:rPr>
                <w:rFonts w:ascii="Times New Roman;Times;Serif" w:hAnsi="Times New Roman;Times;Serif"/>
                <w:sz w:val="20"/>
              </w:rPr>
              <w:t>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center"/>
              <w:rPr>
                <w:rFonts w:ascii="Times New Roman;Times;Serif" w:hAnsi="Times New Roman;Times;Serif"/>
                <w:sz w:val="20"/>
              </w:rPr>
            </w:pPr>
            <w:bookmarkStart w:id="390" w:name="xdx_906_eus-gaap--ShareBasedCompensation"/>
            <w:bookmarkEnd w:id="390"/>
            <w:r>
              <w:rPr>
                <w:rFonts w:ascii="Times New Roman;Times;Serif" w:hAnsi="Times New Roman;Times;Serif"/>
                <w:sz w:val="20"/>
              </w:rPr>
              <w:t xml:space="preserve">1.68% - </w:t>
            </w:r>
            <w:bookmarkStart w:id="391" w:name="xdx_909_eus-gaap--ShareBasedCompensation"/>
            <w:bookmarkEnd w:id="391"/>
            <w:r>
              <w:rPr>
                <w:rFonts w:ascii="Times New Roman;Times;Serif" w:hAnsi="Times New Roman;Times;Serif"/>
                <w:sz w:val="20"/>
              </w:rPr>
              <w:t>2.42%</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center"/>
              <w:rPr/>
            </w:pPr>
            <w:bookmarkStart w:id="392" w:name="xdx_901_eus-gaap--SharebasedCompensation"/>
            <w:bookmarkEnd w:id="392"/>
            <w:r>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center"/>
              <w:rPr>
                <w:rFonts w:ascii="Times New Roman;Times;Serif" w:hAnsi="Times New Roman;Times;Serif"/>
                <w:sz w:val="20"/>
              </w:rPr>
            </w:pPr>
            <w:bookmarkStart w:id="393" w:name="xdx_908_eus-gaap--SharebasedCompensation"/>
            <w:bookmarkEnd w:id="393"/>
            <w:r>
              <w:rPr>
                <w:rFonts w:ascii="Times New Roman;Times;Serif" w:hAnsi="Times New Roman;Times;Serif"/>
                <w:sz w:val="20"/>
              </w:rPr>
              <w:t xml:space="preserve">3.53 - </w:t>
            </w:r>
            <w:bookmarkStart w:id="394" w:name="xdx_903_eus-gaap--SharebasedCompensation"/>
            <w:bookmarkEnd w:id="394"/>
            <w:r>
              <w:rPr>
                <w:rFonts w:ascii="Times New Roman;Times;Serif" w:hAnsi="Times New Roman;Times;Serif"/>
                <w:sz w:val="20"/>
              </w:rPr>
              <w:t>6.00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center"/>
              <w:rPr>
                <w:rFonts w:ascii="Times New Roman;Times;Serif" w:hAnsi="Times New Roman;Times;Serif"/>
                <w:sz w:val="20"/>
              </w:rPr>
            </w:pPr>
            <w:bookmarkStart w:id="395" w:name="xdx_90B_eus-gaap--ShareBasedCompensation"/>
            <w:bookmarkEnd w:id="395"/>
            <w:r>
              <w:rPr>
                <w:rFonts w:ascii="Times New Roman;Times;Serif" w:hAnsi="Times New Roman;Times;Serif"/>
                <w:sz w:val="20"/>
              </w:rPr>
              <w:t xml:space="preserve">120% - </w:t>
            </w:r>
            <w:bookmarkStart w:id="396" w:name="xdx_905_eus-gaap--ShareBasedCompensation"/>
            <w:bookmarkEnd w:id="396"/>
            <w:r>
              <w:rPr>
                <w:rFonts w:ascii="Times New Roman;Times;Serif" w:hAnsi="Times New Roman;Times;Serif"/>
                <w:sz w:val="20"/>
              </w:rPr>
              <w:t>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center"/>
              <w:rPr>
                <w:rFonts w:ascii="Times New Roman;Times;Serif" w:hAnsi="Times New Roman;Times;Serif"/>
                <w:sz w:val="20"/>
              </w:rPr>
            </w:pPr>
            <w:bookmarkStart w:id="397" w:name="xdx_905_eus-gaap--ShareBasedCompensation"/>
            <w:bookmarkEnd w:id="397"/>
            <w:r>
              <w:rPr>
                <w:rFonts w:ascii="Times New Roman;Times;Serif" w:hAnsi="Times New Roman;Times;Serif"/>
                <w:sz w:val="20"/>
              </w:rPr>
              <w:t xml:space="preserve">111% - </w:t>
            </w:r>
            <w:bookmarkStart w:id="398" w:name="xdx_909_eus-gaap--ShareBasedCompensation"/>
            <w:bookmarkEnd w:id="398"/>
            <w:r>
              <w:rPr>
                <w:rFonts w:ascii="Times New Roman;Times;Serif" w:hAnsi="Times New Roman;Times;Serif"/>
                <w:sz w:val="20"/>
              </w:rPr>
              <w:t>119%</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Expected dividends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center"/>
              <w:rPr/>
            </w:pPr>
            <w:bookmarkStart w:id="399" w:name="xdx_904_eus-gaap--ShareBasedCompensation"/>
            <w:bookmarkEnd w:id="399"/>
            <w:r>
              <w:rPr/>
              <w:t>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center"/>
              <w:rPr/>
            </w:pPr>
            <w:r>
              <w:rPr/>
              <w:t> </w:t>
            </w:r>
          </w:p>
        </w:tc>
        <w:tc>
          <w:tcPr>
            <w:tcW w:w="1463" w:type="dxa"/>
            <w:tcBorders/>
            <w:shd w:fill="CCEEFF" w:val="clear"/>
            <w:vAlign w:val="center"/>
          </w:tcPr>
          <w:p>
            <w:pPr>
              <w:pStyle w:val="TableContents"/>
              <w:bidi w:val="0"/>
              <w:spacing w:before="0" w:after="283"/>
              <w:jc w:val="center"/>
              <w:rPr/>
            </w:pPr>
            <w:bookmarkStart w:id="400" w:name="xdx_90D_eus-gaap--ShareBasedCompensation"/>
            <w:bookmarkEnd w:id="400"/>
            <w:r>
              <w:rPr/>
              <w:t>0.00%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bookmarkStart w:id="401" w:name="xdx_8A0_zYm9dOgQeBQ1"/>
      <w:bookmarkEnd w:id="40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2" w:name="xdx_89A_eus-gaap--ScheduleOfShareBasedCo"/>
      <w:bookmarkEnd w:id="402"/>
      <w:r>
        <w:rPr>
          <w:rFonts w:ascii="Times New Roman;Times;Serif" w:hAnsi="Times New Roman;Times;Serif"/>
          <w:b w:val="false"/>
          <w:i w:val="false"/>
          <w:caps w:val="false"/>
          <w:smallCaps w:val="false"/>
          <w:sz w:val="20"/>
        </w:rPr>
        <w:t>A summary of the option activity for the three months ended March 31, 2023 is presented below:</w:t>
      </w:r>
    </w:p>
    <w:p>
      <w:pPr>
        <w:pStyle w:val="TextBody"/>
        <w:bidi w:val="0"/>
        <w:spacing w:before="0" w:after="0"/>
        <w:ind w:left="0" w:right="0" w:hanging="0"/>
        <w:jc w:val="both"/>
        <w:rPr>
          <w:caps w:val="false"/>
          <w:smallCaps w:val="false"/>
        </w:rPr>
      </w:pPr>
      <w:r>
        <w:rPr>
          <w:caps w:val="false"/>
          <w:smallCaps w:val="false"/>
        </w:rPr>
        <w:t> </w:t>
      </w:r>
      <w:bookmarkStart w:id="403" w:name="xdx_8BD_zBMT1bmnSkPk"/>
      <w:bookmarkEnd w:id="403"/>
      <w:r>
        <w:rPr>
          <w:rFonts w:ascii="Times New Roman;Times;Serif" w:hAnsi="Times New Roman;Times;Serif"/>
          <w:b/>
          <w:i w:val="false"/>
          <w:caps w:val="false"/>
          <w:smallCaps w:val="false"/>
          <w:sz w:val="20"/>
        </w:rPr>
        <w:t>Schedule of Stock Option Activity</w:t>
      </w:r>
    </w:p>
    <w:tbl>
      <w:tblPr>
        <w:tblW w:w="7644" w:type="dxa"/>
        <w:jc w:val="left"/>
        <w:tblInd w:w="0" w:type="dxa"/>
        <w:tblLayout w:type="fixed"/>
        <w:tblCellMar>
          <w:top w:w="0" w:type="dxa"/>
          <w:left w:w="0" w:type="dxa"/>
          <w:bottom w:w="0" w:type="dxa"/>
          <w:right w:w="0" w:type="dxa"/>
        </w:tblCellMar>
      </w:tblPr>
      <w:tblGrid>
        <w:gridCol w:w="2825"/>
        <w:gridCol w:w="60"/>
        <w:gridCol w:w="65"/>
        <w:gridCol w:w="1064"/>
        <w:gridCol w:w="60"/>
        <w:gridCol w:w="60"/>
        <w:gridCol w:w="199"/>
        <w:gridCol w:w="796"/>
        <w:gridCol w:w="60"/>
        <w:gridCol w:w="60"/>
        <w:gridCol w:w="178"/>
        <w:gridCol w:w="952"/>
        <w:gridCol w:w="60"/>
        <w:gridCol w:w="60"/>
        <w:gridCol w:w="637"/>
        <w:gridCol w:w="433"/>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Aggregate</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Intrinsic</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Outstanding, January 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404" w:name="xdx_989_eus-gaap--ShareBasedCompensation"/>
            <w:bookmarkEnd w:id="404"/>
          </w:p>
        </w:tc>
        <w:tc>
          <w:tcPr>
            <w:tcW w:w="1064" w:type="dxa"/>
            <w:tcBorders/>
            <w:shd w:fill="CCEEFF" w:val="clear"/>
            <w:vAlign w:val="center"/>
          </w:tcPr>
          <w:p>
            <w:pPr>
              <w:pStyle w:val="TableContents"/>
              <w:bidi w:val="0"/>
              <w:spacing w:before="0" w:after="283"/>
              <w:jc w:val="right"/>
              <w:rPr/>
            </w:pPr>
            <w:r>
              <w:rPr/>
              <w:t>1,993,235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405" w:name="xdx_98D_eus-gaap--ShareBasedCompensation"/>
            <w:bookmarkEnd w:id="405"/>
          </w:p>
        </w:tc>
        <w:tc>
          <w:tcPr>
            <w:tcW w:w="796" w:type="dxa"/>
            <w:tcBorders/>
            <w:shd w:fill="CCEEFF" w:val="clear"/>
            <w:vAlign w:val="center"/>
          </w:tcPr>
          <w:p>
            <w:pPr>
              <w:pStyle w:val="TableContents"/>
              <w:bidi w:val="0"/>
              <w:spacing w:before="0" w:after="283"/>
              <w:jc w:val="right"/>
              <w:rPr/>
            </w:pPr>
            <w:r>
              <w:rPr/>
              <w:t>10.81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406" w:name="xdx_988_eus-gaap--ShareBasedCompensation"/>
            <w:bookmarkEnd w:id="406"/>
          </w:p>
        </w:tc>
        <w:tc>
          <w:tcPr>
            <w:tcW w:w="1064" w:type="dxa"/>
            <w:tcBorders/>
            <w:shd w:fill="FFFFFF" w:val="clear"/>
            <w:vAlign w:val="center"/>
          </w:tcPr>
          <w:p>
            <w:pPr>
              <w:pStyle w:val="TableContents"/>
              <w:bidi w:val="0"/>
              <w:spacing w:before="0" w:after="283"/>
              <w:jc w:val="right"/>
              <w:rPr/>
            </w:pPr>
            <w:r>
              <w:rPr/>
              <w:t>113,000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407" w:name="xdx_98A_eus-gaap--ShareBasedCompensation"/>
            <w:bookmarkEnd w:id="407"/>
          </w:p>
        </w:tc>
        <w:tc>
          <w:tcPr>
            <w:tcW w:w="796" w:type="dxa"/>
            <w:tcBorders/>
            <w:shd w:fill="FFFFFF" w:val="clear"/>
            <w:vAlign w:val="center"/>
          </w:tcPr>
          <w:p>
            <w:pPr>
              <w:pStyle w:val="TableContents"/>
              <w:bidi w:val="0"/>
              <w:spacing w:before="0" w:after="283"/>
              <w:jc w:val="right"/>
              <w:rPr/>
            </w:pPr>
            <w:r>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408" w:name="xdx_984_eus-gaap--StockIssuedDuringPerio"/>
            <w:bookmarkEnd w:id="408"/>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409" w:name="xdx_98D_eus-gaap--ShareBasedCompensation"/>
            <w:bookmarkEnd w:id="409"/>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10" w:name="xdx_98E_eus-gaap--ShareBasedCompensation"/>
            <w:bookmarkEnd w:id="410"/>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11" w:name="xdx_98A_eus-gaap--ShareBasedCompensation"/>
            <w:bookmarkEnd w:id="411"/>
          </w:p>
        </w:tc>
        <w:tc>
          <w:tcPr>
            <w:tcW w:w="7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Outstanding, March 31, 2023</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12" w:name="xdx_983_eus-gaap--ShareBasedCompensation"/>
            <w:bookmarkEnd w:id="412"/>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2,106,235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13" w:name="xdx_983_eus-gaap--ShareBasedCompensation"/>
            <w:bookmarkEnd w:id="413"/>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10.35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14" w:name="xdx_905_eus-gaap--SharebasedCompensation"/>
            <w:bookmarkEnd w:id="414"/>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15" w:name="xdx_982_eus-gaap--ShareBasedCompensation"/>
            <w:bookmarkEnd w:id="415"/>
          </w:p>
        </w:tc>
        <w:tc>
          <w:tcPr>
            <w:tcW w:w="43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Exercisable, March 31, 2023</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16" w:name="xdx_98C_eus-gaap--ShareBasedCompensation"/>
            <w:bookmarkEnd w:id="416"/>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1,783,531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17" w:name="xdx_983_eus-gaap--ShareBasedCompensation"/>
            <w:bookmarkEnd w:id="417"/>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10.18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18" w:name="xdx_906_eus-gaap--SharebasedCompensation"/>
            <w:bookmarkEnd w:id="418"/>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19" w:name="xdx_987_eus-gaap--SharebasedCompensation"/>
            <w:bookmarkEnd w:id="419"/>
          </w:p>
        </w:tc>
        <w:tc>
          <w:tcPr>
            <w:tcW w:w="43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0" w:name="xdx_8A4_zzrhir3yqI6j"/>
      <w:bookmarkEnd w:id="42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1" w:name="xdx_893_eus-gaap--ScheduleOfShareBasedCo"/>
      <w:bookmarkEnd w:id="421"/>
      <w:r>
        <w:rPr>
          <w:rFonts w:ascii="Times New Roman;Times;Serif" w:hAnsi="Times New Roman;Times;Serif"/>
          <w:b w:val="false"/>
          <w:i w:val="false"/>
          <w:caps w:val="false"/>
          <w:smallCaps w:val="false"/>
          <w:sz w:val="20"/>
        </w:rPr>
        <w:t>The following table presents information related to stock options as of March 31, 2023:</w:t>
      </w:r>
    </w:p>
    <w:p>
      <w:pPr>
        <w:pStyle w:val="TextBody"/>
        <w:bidi w:val="0"/>
        <w:spacing w:before="0" w:after="0"/>
        <w:ind w:left="0" w:right="0" w:hanging="0"/>
        <w:jc w:val="both"/>
        <w:rPr>
          <w:caps w:val="false"/>
          <w:smallCaps w:val="false"/>
        </w:rPr>
      </w:pPr>
      <w:r>
        <w:rPr>
          <w:caps w:val="false"/>
          <w:smallCaps w:val="false"/>
        </w:rPr>
        <w:t> </w:t>
      </w:r>
      <w:bookmarkStart w:id="422" w:name="xdx_8B4_zQ0LVaMPvMQ"/>
      <w:bookmarkEnd w:id="422"/>
      <w:r>
        <w:rPr>
          <w:rFonts w:ascii="Times New Roman;Times;Serif" w:hAnsi="Times New Roman;Times;Serif"/>
          <w:b/>
          <w:i w:val="false"/>
          <w:caps w:val="false"/>
          <w:smallCaps w:val="false"/>
          <w:sz w:val="20"/>
        </w:rPr>
        <w:t xml:space="preserve">Schedule of Information Related to Stock Options </w:t>
      </w:r>
    </w:p>
    <w:tbl>
      <w:tblPr>
        <w:tblW w:w="5633" w:type="dxa"/>
        <w:jc w:val="left"/>
        <w:tblInd w:w="0" w:type="dxa"/>
        <w:tblLayout w:type="fixed"/>
        <w:tblCellMar>
          <w:top w:w="0" w:type="dxa"/>
          <w:left w:w="0" w:type="dxa"/>
          <w:bottom w:w="28" w:type="dxa"/>
          <w:right w:w="0" w:type="dxa"/>
        </w:tblCellMar>
      </w:tblPr>
      <w:tblGrid>
        <w:gridCol w:w="192"/>
        <w:gridCol w:w="698"/>
        <w:gridCol w:w="68"/>
        <w:gridCol w:w="68"/>
        <w:gridCol w:w="73"/>
        <w:gridCol w:w="1207"/>
        <w:gridCol w:w="60"/>
        <w:gridCol w:w="60"/>
        <w:gridCol w:w="251"/>
        <w:gridCol w:w="1343"/>
        <w:gridCol w:w="79"/>
        <w:gridCol w:w="79"/>
        <w:gridCol w:w="79"/>
        <w:gridCol w:w="1301"/>
        <w:gridCol w:w="75"/>
      </w:tblGrid>
      <w:tr>
        <w:trPr/>
        <w:tc>
          <w:tcPr>
            <w:tcW w:w="2306" w:type="dxa"/>
            <w:gridSpan w:val="6"/>
            <w:tcBorders>
              <w:bottom w:val="single" w:sz="12" w:space="0" w:color="000000"/>
            </w:tcBorders>
            <w:vAlign w:val="center"/>
          </w:tcPr>
          <w:p>
            <w:pPr>
              <w:pStyle w:val="TableContents"/>
              <w:bidi w:val="0"/>
              <w:spacing w:before="0" w:after="283"/>
              <w:jc w:val="center"/>
              <w:rPr>
                <w:b/>
              </w:rPr>
            </w:pPr>
            <w:r>
              <w:rPr>
                <w:b/>
              </w:rPr>
              <w:t>Options 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32" w:type="dxa"/>
            <w:gridSpan w:val="6"/>
            <w:tcBorders>
              <w:bottom w:val="single" w:sz="12" w:space="0" w:color="000000"/>
            </w:tcBorders>
            <w:vAlign w:val="center"/>
          </w:tcPr>
          <w:p>
            <w:pPr>
              <w:pStyle w:val="TableContents"/>
              <w:bidi w:val="0"/>
              <w:spacing w:before="0" w:after="283"/>
              <w:jc w:val="center"/>
              <w:rPr>
                <w:b/>
              </w:rPr>
            </w:pPr>
            <w:r>
              <w:rPr>
                <w:b/>
              </w:rPr>
              <w:t>Options Exercisable</w:t>
            </w:r>
          </w:p>
        </w:tc>
        <w:tc>
          <w:tcPr>
            <w:tcW w:w="75" w:type="dxa"/>
            <w:tcBorders/>
            <w:tcMar>
              <w:bottom w:w="0" w:type="dxa"/>
            </w:tcMar>
            <w:vAlign w:val="center"/>
          </w:tcPr>
          <w:p>
            <w:pPr>
              <w:pStyle w:val="TableContents"/>
              <w:bidi w:val="0"/>
              <w:spacing w:before="0" w:after="283"/>
              <w:jc w:val="left"/>
              <w:rPr/>
            </w:pPr>
            <w:r>
              <w:rPr/>
              <w:t> </w:t>
            </w:r>
          </w:p>
        </w:tc>
      </w:tr>
      <w:tr>
        <w:trPr/>
        <w:tc>
          <w:tcPr>
            <w:tcW w:w="890" w:type="dxa"/>
            <w:gridSpan w:val="2"/>
            <w:tcBorders/>
            <w:tcMar>
              <w:bottom w:w="0" w:type="dxa"/>
            </w:tcMar>
            <w:vAlign w:val="center"/>
          </w:tcPr>
          <w:p>
            <w:pPr>
              <w:pStyle w:val="TableContents"/>
              <w:bidi w:val="0"/>
              <w:spacing w:before="0" w:after="283"/>
              <w:jc w:val="center"/>
              <w:rPr/>
            </w:pPr>
            <w:r>
              <w:rPr/>
              <w:t> </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tcMar>
              <w:bottom w:w="0" w:type="dxa"/>
            </w:tcMar>
            <w:vAlign w:val="center"/>
          </w:tcPr>
          <w:p>
            <w:pPr>
              <w:pStyle w:val="TableContents"/>
              <w:bidi w:val="0"/>
              <w:spacing w:before="0" w:after="283"/>
              <w:jc w:val="center"/>
              <w:rPr>
                <w:b/>
              </w:rPr>
            </w:pPr>
            <w:r>
              <w:rPr>
                <w:b/>
              </w:rPr>
              <w:t>Weighted</w:t>
            </w:r>
          </w:p>
        </w:tc>
        <w:tc>
          <w:tcPr>
            <w:tcW w:w="79" w:type="dxa"/>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c>
          <w:tcPr>
            <w:tcW w:w="138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890" w:type="dxa"/>
            <w:gridSpan w:val="2"/>
            <w:tcBorders/>
            <w:tcMar>
              <w:bottom w:w="0" w:type="dxa"/>
            </w:tcMar>
            <w:vAlign w:val="center"/>
          </w:tcPr>
          <w:p>
            <w:pPr>
              <w:pStyle w:val="TableContents"/>
              <w:bidi w:val="0"/>
              <w:spacing w:before="0" w:after="283"/>
              <w:jc w:val="center"/>
              <w:rPr/>
            </w:pPr>
            <w:r>
              <w:rPr/>
              <w:t> </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b/>
              </w:rPr>
            </w:pPr>
            <w:r>
              <w:rPr>
                <w:b/>
              </w:rP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tcMar>
              <w:bottom w:w="0" w:type="dxa"/>
            </w:tcMar>
            <w:vAlign w:val="center"/>
          </w:tcPr>
          <w:p>
            <w:pPr>
              <w:pStyle w:val="TableContents"/>
              <w:bidi w:val="0"/>
              <w:spacing w:before="0" w:after="283"/>
              <w:jc w:val="center"/>
              <w:rPr>
                <w:b/>
              </w:rPr>
            </w:pPr>
            <w:r>
              <w:rPr>
                <w:b/>
              </w:rPr>
              <w:t>Average</w:t>
            </w:r>
          </w:p>
        </w:tc>
        <w:tc>
          <w:tcPr>
            <w:tcW w:w="79" w:type="dxa"/>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c>
          <w:tcPr>
            <w:tcW w:w="1380" w:type="dxa"/>
            <w:gridSpan w:val="2"/>
            <w:tcBorders/>
            <w:tcMar>
              <w:bottom w:w="0" w:type="dxa"/>
            </w:tcMar>
            <w:vAlign w:val="center"/>
          </w:tcPr>
          <w:p>
            <w:pPr>
              <w:pStyle w:val="TableContents"/>
              <w:bidi w:val="0"/>
              <w:spacing w:before="0" w:after="283"/>
              <w:jc w:val="center"/>
              <w:rPr>
                <w:b/>
              </w:rPr>
            </w:pPr>
            <w:r>
              <w:rPr>
                <w:b/>
              </w:rPr>
              <w:t>Exercisable</w:t>
            </w:r>
          </w:p>
        </w:tc>
        <w:tc>
          <w:tcPr>
            <w:tcW w:w="75" w:type="dxa"/>
            <w:tcBorders/>
            <w:tcMar>
              <w:bottom w:w="0" w:type="dxa"/>
            </w:tcMar>
            <w:vAlign w:val="center"/>
          </w:tcPr>
          <w:p>
            <w:pPr>
              <w:pStyle w:val="TableContents"/>
              <w:bidi w:val="0"/>
              <w:spacing w:before="0" w:after="283"/>
              <w:jc w:val="left"/>
              <w:rPr/>
            </w:pPr>
            <w:r>
              <w:rPr/>
              <w:t> </w:t>
            </w:r>
          </w:p>
        </w:tc>
      </w:tr>
      <w:tr>
        <w:trPr/>
        <w:tc>
          <w:tcPr>
            <w:tcW w:w="890" w:type="dxa"/>
            <w:gridSpan w:val="2"/>
            <w:tcBorders/>
            <w:tcMar>
              <w:bottom w:w="0" w:type="dxa"/>
            </w:tcMar>
            <w:vAlign w:val="center"/>
          </w:tcPr>
          <w:p>
            <w:pPr>
              <w:pStyle w:val="TableContents"/>
              <w:bidi w:val="0"/>
              <w:spacing w:before="0" w:after="283"/>
              <w:jc w:val="center"/>
              <w:rPr>
                <w:b/>
              </w:rPr>
            </w:pPr>
            <w:r>
              <w:rPr>
                <w:b/>
              </w:rPr>
              <w:t>Exercise</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b/>
              </w:rPr>
            </w:pPr>
            <w:r>
              <w:rPr>
                <w:b/>
              </w:rPr>
              <w:t>Number of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tcMar>
              <w:bottom w:w="0" w:type="dxa"/>
            </w:tcMar>
            <w:vAlign w:val="center"/>
          </w:tcPr>
          <w:p>
            <w:pPr>
              <w:pStyle w:val="TableContents"/>
              <w:bidi w:val="0"/>
              <w:spacing w:before="0" w:after="283"/>
              <w:jc w:val="center"/>
              <w:rPr>
                <w:b/>
              </w:rPr>
            </w:pPr>
            <w:r>
              <w:rPr>
                <w:b/>
              </w:rPr>
              <w:t>Remaining Life</w:t>
            </w:r>
          </w:p>
        </w:tc>
        <w:tc>
          <w:tcPr>
            <w:tcW w:w="79" w:type="dxa"/>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c>
          <w:tcPr>
            <w:tcW w:w="1380" w:type="dxa"/>
            <w:gridSpan w:val="2"/>
            <w:tcBorders/>
            <w:tcMar>
              <w:bottom w:w="0" w:type="dxa"/>
            </w:tcMar>
            <w:vAlign w:val="center"/>
          </w:tcPr>
          <w:p>
            <w:pPr>
              <w:pStyle w:val="TableContents"/>
              <w:bidi w:val="0"/>
              <w:spacing w:before="0" w:after="283"/>
              <w:jc w:val="center"/>
              <w:rPr>
                <w:b/>
              </w:rPr>
            </w:pPr>
            <w:r>
              <w:rPr>
                <w:b/>
              </w:rPr>
              <w:t>Number of</w:t>
            </w:r>
          </w:p>
        </w:tc>
        <w:tc>
          <w:tcPr>
            <w:tcW w:w="75" w:type="dxa"/>
            <w:tcBorders/>
            <w:tcMar>
              <w:bottom w:w="0" w:type="dxa"/>
            </w:tcMar>
            <w:vAlign w:val="center"/>
          </w:tcPr>
          <w:p>
            <w:pPr>
              <w:pStyle w:val="TableContents"/>
              <w:bidi w:val="0"/>
              <w:spacing w:before="0" w:after="283"/>
              <w:jc w:val="left"/>
              <w:rPr/>
            </w:pPr>
            <w:r>
              <w:rPr/>
              <w:t> </w:t>
            </w:r>
          </w:p>
        </w:tc>
      </w:tr>
      <w:tr>
        <w:trPr/>
        <w:tc>
          <w:tcPr>
            <w:tcW w:w="890" w:type="dxa"/>
            <w:gridSpan w:val="2"/>
            <w:tcBorders>
              <w:bottom w:val="single" w:sz="12" w:space="0" w:color="000000"/>
            </w:tcBorders>
            <w:vAlign w:val="center"/>
          </w:tcPr>
          <w:p>
            <w:pPr>
              <w:pStyle w:val="TableContents"/>
              <w:bidi w:val="0"/>
              <w:spacing w:before="0" w:after="283"/>
              <w:jc w:val="center"/>
              <w:rPr>
                <w:b/>
              </w:rPr>
            </w:pPr>
            <w:r>
              <w:rPr>
                <w:b/>
              </w:rPr>
              <w:t>Price</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In Years</w:t>
            </w:r>
          </w:p>
        </w:tc>
        <w:tc>
          <w:tcPr>
            <w:tcW w:w="79" w:type="dxa"/>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c>
          <w:tcPr>
            <w:tcW w:w="1380" w:type="dxa"/>
            <w:gridSpan w:val="2"/>
            <w:tcBorders>
              <w:bottom w:val="single" w:sz="12" w:space="0" w:color="000000"/>
            </w:tcBorders>
            <w:vAlign w:val="center"/>
          </w:tcPr>
          <w:p>
            <w:pPr>
              <w:pStyle w:val="TableContents"/>
              <w:bidi w:val="0"/>
              <w:spacing w:before="0" w:after="283"/>
              <w:jc w:val="center"/>
              <w:rPr>
                <w:b/>
              </w:rPr>
            </w:pPr>
            <w:r>
              <w:rPr>
                <w:b/>
              </w:rPr>
              <w:t>Options</w:t>
            </w:r>
          </w:p>
        </w:tc>
        <w:tc>
          <w:tcPr>
            <w:tcW w:w="75" w:type="dxa"/>
            <w:tcBorders/>
            <w:tcMar>
              <w:bottom w:w="0" w:type="dxa"/>
            </w:tcMar>
            <w:vAlign w:val="center"/>
          </w:tcPr>
          <w:p>
            <w:pPr>
              <w:pStyle w:val="TableContents"/>
              <w:bidi w:val="0"/>
              <w:spacing w:before="0" w:after="283"/>
              <w:jc w:val="left"/>
              <w:rPr/>
            </w:pPr>
            <w:r>
              <w:rPr/>
              <w:t> </w:t>
            </w:r>
          </w:p>
        </w:tc>
      </w:tr>
      <w:tr>
        <w:trPr/>
        <w:tc>
          <w:tcPr>
            <w:tcW w:w="192" w:type="dxa"/>
            <w:tcBorders/>
            <w:shd w:fill="CCEEFF" w:val="clear"/>
            <w:tcMar>
              <w:bottom w:w="0" w:type="dxa"/>
            </w:tcMar>
            <w:vAlign w:val="center"/>
          </w:tcPr>
          <w:p>
            <w:pPr>
              <w:pStyle w:val="TableContents"/>
              <w:bidi w:val="0"/>
              <w:spacing w:before="0" w:after="283"/>
              <w:jc w:val="left"/>
              <w:rPr/>
            </w:pPr>
            <w:r>
              <w:rPr/>
              <w:t>$</w:t>
            </w:r>
            <w:bookmarkStart w:id="423" w:name="xdx_98B_eus-gaap--SharebasedCompensation"/>
            <w:bookmarkEnd w:id="423"/>
          </w:p>
        </w:tc>
        <w:tc>
          <w:tcPr>
            <w:tcW w:w="698" w:type="dxa"/>
            <w:tcBorders/>
            <w:shd w:fill="CCEEFF" w:val="clear"/>
            <w:tcMar>
              <w:bottom w:w="0" w:type="dxa"/>
            </w:tcMar>
            <w:vAlign w:val="center"/>
          </w:tcPr>
          <w:p>
            <w:pPr>
              <w:pStyle w:val="TableContents"/>
              <w:bidi w:val="0"/>
              <w:spacing w:before="0" w:after="283"/>
              <w:jc w:val="right"/>
              <w:rPr/>
            </w:pPr>
            <w:r>
              <w:rPr/>
              <w:t>2.11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bookmarkStart w:id="424" w:name="xdx_98A_eus-gaap--ShareBasedCompensation"/>
            <w:bookmarkEnd w:id="424"/>
          </w:p>
        </w:tc>
        <w:tc>
          <w:tcPr>
            <w:tcW w:w="1207" w:type="dxa"/>
            <w:tcBorders/>
            <w:shd w:fill="CCEEFF" w:val="clear"/>
            <w:tcMar>
              <w:bottom w:w="0" w:type="dxa"/>
            </w:tcMar>
            <w:vAlign w:val="center"/>
          </w:tcPr>
          <w:p>
            <w:pPr>
              <w:pStyle w:val="TableContents"/>
              <w:bidi w:val="0"/>
              <w:spacing w:before="0" w:after="283"/>
              <w:jc w:val="right"/>
              <w:rPr/>
            </w:pPr>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425" w:name="xdx_986_eus-gaap--ShareBasedCompensation"/>
            <w:bookmarkEnd w:id="425"/>
          </w:p>
        </w:tc>
        <w:tc>
          <w:tcPr>
            <w:tcW w:w="1301"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2" w:type="dxa"/>
            <w:tcBorders/>
            <w:shd w:fill="FFFFFF" w:val="clear"/>
            <w:tcMar>
              <w:bottom w:w="0" w:type="dxa"/>
            </w:tcMar>
            <w:vAlign w:val="center"/>
          </w:tcPr>
          <w:p>
            <w:pPr>
              <w:pStyle w:val="TableContents"/>
              <w:bidi w:val="0"/>
              <w:spacing w:before="0" w:after="283"/>
              <w:jc w:val="left"/>
              <w:rPr/>
            </w:pPr>
            <w:r>
              <w:rPr/>
              <w:t>$</w:t>
            </w:r>
            <w:bookmarkStart w:id="426" w:name="xdx_98E_eus-gaap--SharebasedCompensation"/>
            <w:bookmarkEnd w:id="426"/>
          </w:p>
        </w:tc>
        <w:tc>
          <w:tcPr>
            <w:tcW w:w="698" w:type="dxa"/>
            <w:tcBorders/>
            <w:shd w:fill="FFFFFF" w:val="clear"/>
            <w:tcMar>
              <w:bottom w:w="0" w:type="dxa"/>
            </w:tcMar>
            <w:vAlign w:val="center"/>
          </w:tcPr>
          <w:p>
            <w:pPr>
              <w:pStyle w:val="TableContents"/>
              <w:bidi w:val="0"/>
              <w:spacing w:before="0" w:after="283"/>
              <w:jc w:val="right"/>
              <w:rPr/>
            </w:pPr>
            <w:r>
              <w:rPr/>
              <w:t>2.26</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bookmarkStart w:id="427" w:name="xdx_98A_eus-gaap--ShareBasedCompensation"/>
            <w:bookmarkEnd w:id="427"/>
          </w:p>
        </w:tc>
        <w:tc>
          <w:tcPr>
            <w:tcW w:w="1207" w:type="dxa"/>
            <w:tcBorders/>
            <w:shd w:fill="FFFFFF" w:val="clear"/>
            <w:tcMar>
              <w:bottom w:w="0" w:type="dxa"/>
            </w:tcMar>
            <w:vAlign w:val="center"/>
          </w:tcPr>
          <w:p>
            <w:pPr>
              <w:pStyle w:val="TableContents"/>
              <w:bidi w:val="0"/>
              <w:spacing w:before="0" w:after="283"/>
              <w:jc w:val="right"/>
              <w:rPr/>
            </w:pPr>
            <w:r>
              <w:rPr/>
              <w:t>13,000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43"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bookmarkStart w:id="428" w:name="xdx_985_eus-gaap--ShareBasedCompensation"/>
            <w:bookmarkEnd w:id="428"/>
          </w:p>
        </w:tc>
        <w:tc>
          <w:tcPr>
            <w:tcW w:w="1301"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2" w:type="dxa"/>
            <w:tcBorders/>
            <w:shd w:fill="CCEEFF" w:val="clear"/>
            <w:tcMar>
              <w:bottom w:w="0" w:type="dxa"/>
            </w:tcMar>
            <w:vAlign w:val="center"/>
          </w:tcPr>
          <w:p>
            <w:pPr>
              <w:pStyle w:val="TableContents"/>
              <w:bidi w:val="0"/>
              <w:spacing w:before="0" w:after="283"/>
              <w:jc w:val="left"/>
              <w:rPr/>
            </w:pPr>
            <w:r>
              <w:rPr/>
              <w:t>$</w:t>
            </w:r>
            <w:bookmarkStart w:id="429" w:name="xdx_989_eus-gaap--SharebasedCompensation"/>
            <w:bookmarkEnd w:id="429"/>
          </w:p>
        </w:tc>
        <w:tc>
          <w:tcPr>
            <w:tcW w:w="698" w:type="dxa"/>
            <w:tcBorders/>
            <w:shd w:fill="CCEEFF" w:val="clear"/>
            <w:tcMar>
              <w:bottom w:w="0" w:type="dxa"/>
            </w:tcMar>
            <w:vAlign w:val="center"/>
          </w:tcPr>
          <w:p>
            <w:pPr>
              <w:pStyle w:val="TableContents"/>
              <w:bidi w:val="0"/>
              <w:spacing w:before="0" w:after="283"/>
              <w:jc w:val="right"/>
              <w:rPr/>
            </w:pPr>
            <w:r>
              <w:rPr/>
              <w:t>5.03</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bookmarkStart w:id="430" w:name="xdx_986_eus-gaap--ShareBasedCompensation"/>
            <w:bookmarkEnd w:id="430"/>
          </w:p>
        </w:tc>
        <w:tc>
          <w:tcPr>
            <w:tcW w:w="1207" w:type="dxa"/>
            <w:tcBorders/>
            <w:shd w:fill="CCEEFF" w:val="clear"/>
            <w:tcMar>
              <w:bottom w:w="0" w:type="dxa"/>
            </w:tcMar>
            <w:vAlign w:val="center"/>
          </w:tcPr>
          <w:p>
            <w:pPr>
              <w:pStyle w:val="TableContents"/>
              <w:bidi w:val="0"/>
              <w:spacing w:before="0" w:after="283"/>
              <w:jc w:val="right"/>
              <w:rPr/>
            </w:pPr>
            <w:r>
              <w:rPr/>
              <w:t>662,887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bookmarkStart w:id="431" w:name="xdx_90C_eus-gaap--SharebasedCompensation"/>
            <w:bookmarkEnd w:id="431"/>
            <w:r>
              <w:rPr/>
              <w:t>2.8</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432" w:name="xdx_980_eus-gaap--ShareBasedCompensation"/>
            <w:bookmarkEnd w:id="432"/>
          </w:p>
        </w:tc>
        <w:tc>
          <w:tcPr>
            <w:tcW w:w="1301" w:type="dxa"/>
            <w:tcBorders/>
            <w:shd w:fill="CCEEFF" w:val="clear"/>
            <w:tcMar>
              <w:bottom w:w="0" w:type="dxa"/>
            </w:tcMar>
            <w:vAlign w:val="center"/>
          </w:tcPr>
          <w:p>
            <w:pPr>
              <w:pStyle w:val="TableContents"/>
              <w:bidi w:val="0"/>
              <w:spacing w:before="0" w:after="283"/>
              <w:jc w:val="right"/>
              <w:rPr/>
            </w:pPr>
            <w:r>
              <w:rPr/>
              <w:t>662,887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2" w:type="dxa"/>
            <w:tcBorders/>
            <w:shd w:fill="FFFFFF" w:val="clear"/>
            <w:tcMar>
              <w:bottom w:w="0" w:type="dxa"/>
            </w:tcMar>
            <w:vAlign w:val="center"/>
          </w:tcPr>
          <w:p>
            <w:pPr>
              <w:pStyle w:val="TableContents"/>
              <w:bidi w:val="0"/>
              <w:spacing w:before="0" w:after="283"/>
              <w:jc w:val="left"/>
              <w:rPr/>
            </w:pPr>
            <w:r>
              <w:rPr/>
              <w:t>$</w:t>
            </w:r>
            <w:bookmarkStart w:id="433" w:name="xdx_984_eus-gaap--SharebasedCompensation"/>
            <w:bookmarkEnd w:id="433"/>
          </w:p>
        </w:tc>
        <w:tc>
          <w:tcPr>
            <w:tcW w:w="698" w:type="dxa"/>
            <w:tcBorders/>
            <w:shd w:fill="FFFFFF" w:val="clear"/>
            <w:tcMar>
              <w:bottom w:w="0" w:type="dxa"/>
            </w:tcMar>
            <w:vAlign w:val="center"/>
          </w:tcPr>
          <w:p>
            <w:pPr>
              <w:pStyle w:val="TableContents"/>
              <w:bidi w:val="0"/>
              <w:spacing w:before="0" w:after="283"/>
              <w:jc w:val="right"/>
              <w:rPr/>
            </w:pPr>
            <w:r>
              <w:rPr/>
              <w:t>11.33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bookmarkStart w:id="434" w:name="xdx_98D_eus-gaap--ShareBasedCompensation"/>
            <w:bookmarkEnd w:id="434"/>
          </w:p>
        </w:tc>
        <w:tc>
          <w:tcPr>
            <w:tcW w:w="1207" w:type="dxa"/>
            <w:tcBorders/>
            <w:shd w:fill="FFFFFF" w:val="clear"/>
            <w:tcMar>
              <w:bottom w:w="0" w:type="dxa"/>
            </w:tcMar>
            <w:vAlign w:val="center"/>
          </w:tcPr>
          <w:p>
            <w:pPr>
              <w:pStyle w:val="TableContents"/>
              <w:bidi w:val="0"/>
              <w:spacing w:before="0" w:after="283"/>
              <w:jc w:val="right"/>
              <w:rPr/>
            </w:pPr>
            <w:r>
              <w:rPr/>
              <w:t>12,186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43" w:type="dxa"/>
            <w:tcBorders/>
            <w:shd w:fill="FFFFFF" w:val="clear"/>
            <w:tcMar>
              <w:bottom w:w="0" w:type="dxa"/>
            </w:tcMar>
            <w:vAlign w:val="center"/>
          </w:tcPr>
          <w:p>
            <w:pPr>
              <w:pStyle w:val="TableContents"/>
              <w:bidi w:val="0"/>
              <w:spacing w:before="0" w:after="283"/>
              <w:jc w:val="right"/>
              <w:rPr/>
            </w:pPr>
            <w:bookmarkStart w:id="435" w:name="xdx_909_eus-gaap--SharebasedCompensation"/>
            <w:bookmarkEnd w:id="435"/>
            <w:r>
              <w:rPr/>
              <w:t>9.3</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bookmarkStart w:id="436" w:name="xdx_982_eus-gaap--ShareBasedCompensation"/>
            <w:bookmarkEnd w:id="436"/>
          </w:p>
        </w:tc>
        <w:tc>
          <w:tcPr>
            <w:tcW w:w="1301" w:type="dxa"/>
            <w:tcBorders/>
            <w:shd w:fill="FFFFFF" w:val="clear"/>
            <w:tcMar>
              <w:bottom w:w="0" w:type="dxa"/>
            </w:tcMar>
            <w:vAlign w:val="center"/>
          </w:tcPr>
          <w:p>
            <w:pPr>
              <w:pStyle w:val="TableContents"/>
              <w:bidi w:val="0"/>
              <w:spacing w:before="0" w:after="283"/>
              <w:jc w:val="right"/>
              <w:rPr/>
            </w:pPr>
            <w:r>
              <w:rPr/>
              <w:t>12,186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2" w:type="dxa"/>
            <w:tcBorders/>
            <w:shd w:fill="CCEEFF" w:val="clear"/>
            <w:tcMar>
              <w:bottom w:w="0" w:type="dxa"/>
            </w:tcMar>
            <w:vAlign w:val="center"/>
          </w:tcPr>
          <w:p>
            <w:pPr>
              <w:pStyle w:val="TableContents"/>
              <w:bidi w:val="0"/>
              <w:spacing w:before="0" w:after="283"/>
              <w:jc w:val="left"/>
              <w:rPr/>
            </w:pPr>
            <w:r>
              <w:rPr/>
              <w:t>$</w:t>
            </w:r>
            <w:bookmarkStart w:id="437" w:name="xdx_988_eus-gaap--SharebasedCompensation"/>
            <w:bookmarkEnd w:id="437"/>
          </w:p>
        </w:tc>
        <w:tc>
          <w:tcPr>
            <w:tcW w:w="698" w:type="dxa"/>
            <w:tcBorders/>
            <w:shd w:fill="CCEEFF" w:val="clear"/>
            <w:tcMar>
              <w:bottom w:w="0" w:type="dxa"/>
            </w:tcMar>
            <w:vAlign w:val="center"/>
          </w:tcPr>
          <w:p>
            <w:pPr>
              <w:pStyle w:val="TableContents"/>
              <w:bidi w:val="0"/>
              <w:spacing w:before="0" w:after="283"/>
              <w:jc w:val="right"/>
              <w:rPr/>
            </w:pPr>
            <w:r>
              <w:rPr/>
              <w:t>11.58</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bookmarkStart w:id="438" w:name="xdx_987_eus-gaap--ShareBasedCompensation"/>
            <w:bookmarkEnd w:id="438"/>
          </w:p>
        </w:tc>
        <w:tc>
          <w:tcPr>
            <w:tcW w:w="1207" w:type="dxa"/>
            <w:tcBorders/>
            <w:shd w:fill="CCEEFF" w:val="clear"/>
            <w:tcMar>
              <w:bottom w:w="0" w:type="dxa"/>
            </w:tcMar>
            <w:vAlign w:val="center"/>
          </w:tcPr>
          <w:p>
            <w:pPr>
              <w:pStyle w:val="TableContents"/>
              <w:bidi w:val="0"/>
              <w:spacing w:before="0" w:after="283"/>
              <w:jc w:val="right"/>
              <w:rPr/>
            </w:pPr>
            <w:r>
              <w:rPr/>
              <w:t>728,430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bookmarkStart w:id="439" w:name="xdx_906_eus-gaap--SharebasedCompensation"/>
            <w:bookmarkEnd w:id="439"/>
            <w:r>
              <w:rPr/>
              <w:t>6.0</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440" w:name="xdx_98A_eus-gaap--ShareBasedCompensation"/>
            <w:bookmarkEnd w:id="440"/>
          </w:p>
        </w:tc>
        <w:tc>
          <w:tcPr>
            <w:tcW w:w="1301" w:type="dxa"/>
            <w:tcBorders/>
            <w:shd w:fill="CCEEFF" w:val="clear"/>
            <w:tcMar>
              <w:bottom w:w="0" w:type="dxa"/>
            </w:tcMar>
            <w:vAlign w:val="center"/>
          </w:tcPr>
          <w:p>
            <w:pPr>
              <w:pStyle w:val="TableContents"/>
              <w:bidi w:val="0"/>
              <w:spacing w:before="0" w:after="283"/>
              <w:jc w:val="right"/>
              <w:rPr/>
            </w:pPr>
            <w:r>
              <w:rPr/>
              <w:t>723,576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2" w:type="dxa"/>
            <w:tcBorders/>
            <w:shd w:fill="FFFFFF" w:val="clear"/>
            <w:tcMar>
              <w:bottom w:w="0" w:type="dxa"/>
            </w:tcMar>
            <w:vAlign w:val="center"/>
          </w:tcPr>
          <w:p>
            <w:pPr>
              <w:pStyle w:val="TableContents"/>
              <w:bidi w:val="0"/>
              <w:spacing w:before="0" w:after="283"/>
              <w:jc w:val="left"/>
              <w:rPr/>
            </w:pPr>
            <w:r>
              <w:rPr/>
              <w:t>$</w:t>
            </w:r>
            <w:bookmarkStart w:id="441" w:name="xdx_98D_eus-gaap--SharebasedCompensation"/>
            <w:bookmarkEnd w:id="441"/>
          </w:p>
        </w:tc>
        <w:tc>
          <w:tcPr>
            <w:tcW w:w="698" w:type="dxa"/>
            <w:tcBorders/>
            <w:shd w:fill="FFFFFF" w:val="clear"/>
            <w:tcMar>
              <w:bottom w:w="0" w:type="dxa"/>
            </w:tcMar>
            <w:vAlign w:val="center"/>
          </w:tcPr>
          <w:p>
            <w:pPr>
              <w:pStyle w:val="TableContents"/>
              <w:bidi w:val="0"/>
              <w:spacing w:before="0" w:after="283"/>
              <w:jc w:val="right"/>
              <w:rPr/>
            </w:pPr>
            <w:r>
              <w:rPr/>
              <w:t>16.36</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12" w:space="0" w:color="000000"/>
            </w:tcBorders>
            <w:shd w:fill="FFFFFF" w:val="clear"/>
            <w:vAlign w:val="center"/>
          </w:tcPr>
          <w:p>
            <w:pPr>
              <w:pStyle w:val="TableContents"/>
              <w:bidi w:val="0"/>
              <w:spacing w:before="0" w:after="283"/>
              <w:jc w:val="left"/>
              <w:rPr/>
            </w:pPr>
            <w:r>
              <w:rPr/>
              <w:t> </w:t>
            </w:r>
            <w:bookmarkStart w:id="442" w:name="xdx_980_eus-gaap--ShareBasedCompensation"/>
            <w:bookmarkEnd w:id="442"/>
          </w:p>
        </w:tc>
        <w:tc>
          <w:tcPr>
            <w:tcW w:w="1207" w:type="dxa"/>
            <w:tcBorders>
              <w:bottom w:val="single" w:sz="12" w:space="0" w:color="000000"/>
            </w:tcBorders>
            <w:shd w:fill="FFFFFF" w:val="clear"/>
            <w:vAlign w:val="center"/>
          </w:tcPr>
          <w:p>
            <w:pPr>
              <w:pStyle w:val="TableContents"/>
              <w:bidi w:val="0"/>
              <w:spacing w:before="0" w:after="283"/>
              <w:jc w:val="right"/>
              <w:rPr/>
            </w:pPr>
            <w:r>
              <w:rPr/>
              <w:t>589,732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43" w:type="dxa"/>
            <w:tcBorders/>
            <w:shd w:fill="FFFFFF" w:val="clear"/>
            <w:tcMar>
              <w:bottom w:w="0" w:type="dxa"/>
            </w:tcMar>
            <w:vAlign w:val="center"/>
          </w:tcPr>
          <w:p>
            <w:pPr>
              <w:pStyle w:val="TableContents"/>
              <w:bidi w:val="0"/>
              <w:spacing w:before="0" w:after="283"/>
              <w:jc w:val="right"/>
              <w:rPr/>
            </w:pPr>
            <w:bookmarkStart w:id="443" w:name="xdx_906_eus-gaap--SharebasedCompensation"/>
            <w:bookmarkEnd w:id="443"/>
            <w:r>
              <w:rPr/>
              <w:t>8.1</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bookmarkStart w:id="444" w:name="xdx_989_eus-gaap--ShareBasedCompensation"/>
            <w:bookmarkEnd w:id="444"/>
          </w:p>
        </w:tc>
        <w:tc>
          <w:tcPr>
            <w:tcW w:w="1301" w:type="dxa"/>
            <w:tcBorders>
              <w:bottom w:val="single" w:sz="12" w:space="0" w:color="000000"/>
            </w:tcBorders>
            <w:shd w:fill="FFFFFF" w:val="clear"/>
            <w:vAlign w:val="center"/>
          </w:tcPr>
          <w:p>
            <w:pPr>
              <w:pStyle w:val="TableContents"/>
              <w:bidi w:val="0"/>
              <w:spacing w:before="0" w:after="283"/>
              <w:jc w:val="right"/>
              <w:rPr/>
            </w:pPr>
            <w:r>
              <w:rPr/>
              <w:t>384,882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2"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righ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vAlign w:val="center"/>
          </w:tcPr>
          <w:p>
            <w:pPr>
              <w:pStyle w:val="TableContents"/>
              <w:bidi w:val="0"/>
              <w:spacing w:before="0" w:after="283"/>
              <w:jc w:val="left"/>
              <w:rPr/>
            </w:pPr>
            <w:r>
              <w:rPr/>
              <w:t> </w:t>
            </w:r>
            <w:bookmarkStart w:id="445" w:name="xdx_988_eus-gaap--ShareBasedCompensation"/>
            <w:bookmarkEnd w:id="445"/>
          </w:p>
        </w:tc>
        <w:tc>
          <w:tcPr>
            <w:tcW w:w="1207" w:type="dxa"/>
            <w:tcBorders>
              <w:bottom w:val="double" w:sz="6" w:space="0" w:color="000000"/>
            </w:tcBorders>
            <w:shd w:fill="CCEEFF" w:val="clear"/>
            <w:vAlign w:val="center"/>
          </w:tcPr>
          <w:p>
            <w:pPr>
              <w:pStyle w:val="TableContents"/>
              <w:bidi w:val="0"/>
              <w:spacing w:before="0" w:after="283"/>
              <w:jc w:val="right"/>
              <w:rPr/>
            </w:pPr>
            <w:r>
              <w:rPr/>
              <w:t>2,106,235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bookmarkStart w:id="446" w:name="xdx_902_eus-gaap--SharebasedCompensation"/>
            <w:bookmarkEnd w:id="446"/>
            <w:r>
              <w:rPr/>
              <w:t>5.3</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double" w:sz="6" w:space="0" w:color="000000"/>
            </w:tcBorders>
            <w:shd w:fill="CCEEFF" w:val="clear"/>
            <w:vAlign w:val="center"/>
          </w:tcPr>
          <w:p>
            <w:pPr>
              <w:pStyle w:val="TableContents"/>
              <w:bidi w:val="0"/>
              <w:spacing w:before="0" w:after="283"/>
              <w:jc w:val="left"/>
              <w:rPr/>
            </w:pPr>
            <w:r>
              <w:rPr/>
              <w:t> </w:t>
            </w:r>
            <w:bookmarkStart w:id="447" w:name="xdx_98C_eus-gaap--ShareBasedCompensation"/>
            <w:bookmarkEnd w:id="447"/>
          </w:p>
        </w:tc>
        <w:tc>
          <w:tcPr>
            <w:tcW w:w="1301" w:type="dxa"/>
            <w:tcBorders>
              <w:bottom w:val="double" w:sz="6" w:space="0" w:color="000000"/>
            </w:tcBorders>
            <w:shd w:fill="CCEEFF" w:val="clear"/>
            <w:vAlign w:val="center"/>
          </w:tcPr>
          <w:p>
            <w:pPr>
              <w:pStyle w:val="TableContents"/>
              <w:bidi w:val="0"/>
              <w:spacing w:before="0" w:after="283"/>
              <w:jc w:val="right"/>
              <w:rPr/>
            </w:pPr>
            <w:r>
              <w:rPr/>
              <w:t>1,783,531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8" w:name="xdx_8A2_zNkjIlcswPk9"/>
      <w:bookmarkEnd w:id="44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Effectiveness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the Company issued </w:t>
      </w:r>
      <w:bookmarkStart w:id="449" w:name="xdx_906_eus-gaap--SaleOfStockNumberOfSha"/>
      <w:bookmarkEnd w:id="449"/>
      <w:r>
        <w:rPr>
          <w:rFonts w:ascii="Times New Roman;Times;Serif" w:hAnsi="Times New Roman;Times;Serif"/>
          <w:b w:val="false"/>
          <w:i w:val="false"/>
          <w:caps w:val="false"/>
          <w:smallCaps w:val="false"/>
          <w:sz w:val="20"/>
        </w:rPr>
        <w:t xml:space="preserve">8,635 shares of Series A Convertible Preferred Stock (the “PIPE Shares”), and common stock purchase warrants (each, a “PIPE Warrant”) to purchase </w:t>
      </w:r>
      <w:bookmarkStart w:id="450" w:name="xdx_908_eus-gaap--SaleOfStockNumberOfSha"/>
      <w:bookmarkEnd w:id="450"/>
      <w:r>
        <w:rPr>
          <w:rFonts w:ascii="Times New Roman;Times;Serif" w:hAnsi="Times New Roman;Times;Serif"/>
          <w:b w:val="false"/>
          <w:i w:val="false"/>
          <w:caps w:val="false"/>
          <w:smallCaps w:val="false"/>
          <w:sz w:val="20"/>
        </w:rPr>
        <w:t>863,500 shares of Common Stock, at a purchase price of $</w:t>
      </w:r>
      <w:bookmarkStart w:id="451" w:name="xdx_909_eus-gaap--SaleOfStockPricePerSha"/>
      <w:bookmarkEnd w:id="451"/>
      <w:r>
        <w:rPr>
          <w:rFonts w:ascii="Times New Roman;Times;Serif" w:hAnsi="Times New Roman;Times;Serif"/>
          <w:b w:val="false"/>
          <w:i w:val="false"/>
          <w:caps w:val="false"/>
          <w:smallCaps w:val="false"/>
          <w:sz w:val="20"/>
        </w:rPr>
        <w:t>1,000 per share and warrant, for an aggregate purchase price of $</w:t>
      </w:r>
      <w:bookmarkStart w:id="452" w:name="xdx_903_eus-gaap--SaleOfStockConsiderati"/>
      <w:bookmarkEnd w:id="452"/>
      <w:r>
        <w:rPr>
          <w:rFonts w:ascii="Times New Roman;Times;Serif" w:hAnsi="Times New Roman;Times;Serif"/>
          <w:b w:val="false"/>
          <w:i w:val="false"/>
          <w:caps w:val="false"/>
          <w:smallCaps w:val="false"/>
          <w:sz w:val="20"/>
        </w:rPr>
        <w:t xml:space="preserve">8,635,000 (the “PIPE Investment”) pursuant to subscription agreements dated July 20, 2022 (collectively, the “PIPE Subscription Agreements”). On or about February 20, 2023, the Company failed to have the SEC declare a registration statement effective (the “Effectiveness Failure”) which covered the Private Investment in Public Equity (“PIPE”) registrable securities within the time period prescribed by the PIPE Securities Purchase Agreement (the “SPA”). The SPA entitles the PIPE investors to receive Registration Delay Payments equal to </w:t>
      </w:r>
      <w:bookmarkStart w:id="453" w:name="xdx_90A_ecustom--PercentageOfRegistratio"/>
      <w:bookmarkEnd w:id="453"/>
      <w:r>
        <w:rPr>
          <w:rFonts w:ascii="Times New Roman;Times;Serif" w:hAnsi="Times New Roman;Times;Serif"/>
          <w:b w:val="false"/>
          <w:i w:val="false"/>
          <w:caps w:val="false"/>
          <w:smallCaps w:val="false"/>
          <w:sz w:val="20"/>
        </w:rPr>
        <w:t xml:space="preserve">1.5% of each investor’s purchase price on the date of the Effectiveness Failure and every thirty days thereafter that the Effectiveness Failure persists. Failure to make the Registration Delay Payments on a timely basis result in the accrual of interest at the rate of </w:t>
      </w:r>
      <w:bookmarkStart w:id="454" w:name="xdx_909_eus-gaap--DebtInstrumentInterest"/>
      <w:bookmarkEnd w:id="454"/>
      <w:r>
        <w:rPr>
          <w:rFonts w:ascii="Times New Roman;Times;Serif" w:hAnsi="Times New Roman;Times;Serif"/>
          <w:b w:val="false"/>
          <w:i w:val="false"/>
          <w:caps w:val="false"/>
          <w:smallCaps w:val="false"/>
          <w:sz w:val="20"/>
        </w:rPr>
        <w:t>2.0% per month. As of the filing date, the Company expects to have to make Registration Delay Payments of approximately $</w:t>
      </w:r>
      <w:bookmarkStart w:id="455" w:name="xdx_909_eus-gaap--DebtInstrumentPeriodic"/>
      <w:bookmarkEnd w:id="455"/>
      <w:r>
        <w:rPr>
          <w:rFonts w:ascii="Times New Roman;Times;Serif" w:hAnsi="Times New Roman;Times;Serif"/>
          <w:b w:val="false"/>
          <w:i w:val="false"/>
          <w:caps w:val="false"/>
          <w:smallCaps w:val="false"/>
          <w:sz w:val="20"/>
        </w:rPr>
        <w:t>398,000 in the aggregate prior to curing the Effectiveness Failure.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6" w:name="xdx_803_eus-gaap--SubsequentEventsTextBl"/>
      <w:bookmarkEnd w:id="456"/>
      <w:r>
        <w:rPr>
          <w:rFonts w:ascii="Times New Roman;Times;Serif" w:hAnsi="Times New Roman;Times;Serif"/>
          <w:b/>
          <w:i w:val="false"/>
          <w:caps w:val="false"/>
          <w:smallCaps w:val="false"/>
          <w:sz w:val="20"/>
        </w:rPr>
        <w:t xml:space="preserve">Note 10 – </w:t>
      </w:r>
      <w:bookmarkStart w:id="457" w:name="xdx_82B_zKIXqUWNndrl"/>
      <w:bookmarkEnd w:id="457"/>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2023, the Company completed an offering of </w:t>
      </w:r>
      <w:bookmarkStart w:id="458" w:name="xdx_904_eus-gaap--StockIssuedDuringPerio"/>
      <w:bookmarkEnd w:id="458"/>
      <w:r>
        <w:rPr>
          <w:rFonts w:ascii="Times New Roman;Times;Serif" w:hAnsi="Times New Roman;Times;Serif"/>
          <w:b w:val="false"/>
          <w:i w:val="false"/>
          <w:caps w:val="false"/>
          <w:smallCaps w:val="false"/>
          <w:sz w:val="20"/>
        </w:rPr>
        <w:t xml:space="preserve">11,015,500 shares of common stock and warrants to purchase </w:t>
      </w:r>
      <w:bookmarkStart w:id="459" w:name="xdx_909_eus-gaap--ClassOfWarrantOrRightN"/>
      <w:bookmarkEnd w:id="459"/>
      <w:r>
        <w:rPr>
          <w:rFonts w:ascii="Times New Roman;Times;Serif" w:hAnsi="Times New Roman;Times;Serif"/>
          <w:b w:val="false"/>
          <w:i w:val="false"/>
          <w:caps w:val="false"/>
          <w:smallCaps w:val="false"/>
          <w:sz w:val="20"/>
        </w:rPr>
        <w:t>11,015,500 shares of common stock for gross proceeds of $</w:t>
      </w:r>
      <w:bookmarkStart w:id="460" w:name="xdx_90B_eus-gaap--ProceedsFromIssuanceOf"/>
      <w:bookmarkEnd w:id="460"/>
      <w:r>
        <w:rPr>
          <w:rFonts w:ascii="Times New Roman;Times;Serif" w:hAnsi="Times New Roman;Times;Serif"/>
          <w:b w:val="false"/>
          <w:i w:val="false"/>
          <w:caps w:val="false"/>
          <w:smallCaps w:val="false"/>
          <w:sz w:val="20"/>
        </w:rPr>
        <w:t>11.0 million (the “Registered Offering”). Each share of common stock was sold together with a five-year warrant to purchase one share of common stock at an exercise price of $</w:t>
      </w:r>
      <w:bookmarkStart w:id="461" w:name="xdx_901_eus-gaap--ClassOfWarrantOrRightE"/>
      <w:bookmarkEnd w:id="461"/>
      <w:r>
        <w:rPr>
          <w:rFonts w:ascii="Times New Roman;Times;Serif" w:hAnsi="Times New Roman;Times;Serif"/>
          <w:b w:val="false"/>
          <w:i w:val="false"/>
          <w:caps w:val="false"/>
          <w:smallCaps w:val="false"/>
          <w:sz w:val="20"/>
        </w:rPr>
        <w:t>1.00 per share, which was exercisable upon issuance. Total issuance costs were $</w:t>
      </w:r>
      <w:bookmarkStart w:id="462" w:name="xdx_905_eus-gaap--StockIssuedDuringPerio"/>
      <w:bookmarkEnd w:id="462"/>
      <w:r>
        <w:rPr>
          <w:rFonts w:ascii="Times New Roman;Times;Serif" w:hAnsi="Times New Roman;Times;Serif"/>
          <w:b w:val="false"/>
          <w:i w:val="false"/>
          <w:caps w:val="false"/>
          <w:smallCaps w:val="false"/>
          <w:sz w:val="20"/>
        </w:rPr>
        <w:t>0.5 million, including $</w:t>
      </w:r>
      <w:bookmarkStart w:id="463" w:name="xdx_90E_eus-gaap--PaymentsForFees_pn5n6_"/>
      <w:bookmarkEnd w:id="463"/>
      <w:r>
        <w:rPr>
          <w:rFonts w:ascii="Times New Roman;Times;Serif" w:hAnsi="Times New Roman;Times;Serif"/>
          <w:b w:val="false"/>
          <w:i w:val="false"/>
          <w:caps w:val="false"/>
          <w:smallCaps w:val="false"/>
          <w:sz w:val="20"/>
        </w:rPr>
        <w:t>0.4 million of placement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Registered Offering, the conversion price of the </w:t>
      </w:r>
      <w:bookmarkStart w:id="464" w:name="xdx_90D_eus-gaap--StockIssuedDuringPerio"/>
      <w:bookmarkEnd w:id="464"/>
      <w:r>
        <w:rPr>
          <w:rFonts w:ascii="Times New Roman;Times;Serif" w:hAnsi="Times New Roman;Times;Serif"/>
          <w:b w:val="false"/>
          <w:i w:val="false"/>
          <w:caps w:val="false"/>
          <w:smallCaps w:val="false"/>
          <w:sz w:val="20"/>
        </w:rPr>
        <w:t>5,062 shares of the Successor Series B Preferred Stock issued in connection with the Business Combination reset to its floor price of $</w:t>
      </w:r>
      <w:bookmarkStart w:id="465" w:name="xdx_906_eus-gaap--ClassOfWarrantOrRightE"/>
      <w:bookmarkEnd w:id="465"/>
      <w:r>
        <w:rPr>
          <w:rFonts w:ascii="Times New Roman;Times;Serif" w:hAnsi="Times New Roman;Times;Serif"/>
          <w:b w:val="false"/>
          <w:i w:val="false"/>
          <w:caps w:val="false"/>
          <w:smallCaps w:val="false"/>
          <w:sz w:val="20"/>
        </w:rPr>
        <w:t xml:space="preserve">7.00 per share and the exercise price of the PIPE Warrants to purchase </w:t>
      </w:r>
      <w:bookmarkStart w:id="466" w:name="xdx_90C_eus-gaap--ClassOfWarrantOrRightN"/>
      <w:bookmarkEnd w:id="466"/>
      <w:r>
        <w:rPr>
          <w:rFonts w:ascii="Times New Roman;Times;Serif" w:hAnsi="Times New Roman;Times;Serif"/>
          <w:b w:val="false"/>
          <w:i w:val="false"/>
          <w:caps w:val="false"/>
          <w:smallCaps w:val="false"/>
          <w:sz w:val="20"/>
        </w:rPr>
        <w:t>863,500 shares of common stock that were issued to participants in the original PIPE financing reset to their floor price of $</w:t>
      </w:r>
      <w:bookmarkStart w:id="467" w:name="xdx_904_eus-gaap--ClassOfWarrantOrRightE"/>
      <w:bookmarkEnd w:id="467"/>
      <w:r>
        <w:rPr>
          <w:rFonts w:ascii="Times New Roman;Times;Serif" w:hAnsi="Times New Roman;Times;Serif"/>
          <w:b w:val="false"/>
          <w:i w:val="false"/>
          <w:caps w:val="false"/>
          <w:smallCaps w:val="false"/>
          <w:sz w:val="20"/>
        </w:rPr>
        <w:t xml:space="preserve">2.00 per share, while becoming exercisable for </w:t>
      </w:r>
      <w:bookmarkStart w:id="468" w:name="xdx_90D_eus-gaap--ShareBasedCompensation"/>
      <w:bookmarkEnd w:id="468"/>
      <w:r>
        <w:rPr>
          <w:rFonts w:ascii="Times New Roman;Times;Serif" w:hAnsi="Times New Roman;Times;Serif"/>
          <w:b w:val="false"/>
          <w:i w:val="false"/>
          <w:caps w:val="false"/>
          <w:smallCaps w:val="false"/>
          <w:sz w:val="20"/>
        </w:rPr>
        <w:t>4,317,500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PIPE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Registered Offering were used to redeem substantially all of the original PIPE Shares for a purchase price of $</w:t>
      </w:r>
      <w:bookmarkStart w:id="469" w:name="xdx_904_ecustom--PaymentToRedemptionOfOr"/>
      <w:bookmarkEnd w:id="469"/>
      <w:r>
        <w:rPr>
          <w:rFonts w:ascii="Times New Roman;Times;Serif" w:hAnsi="Times New Roman;Times;Serif"/>
          <w:b w:val="false"/>
          <w:i w:val="false"/>
          <w:caps w:val="false"/>
          <w:smallCaps w:val="false"/>
          <w:sz w:val="20"/>
        </w:rPr>
        <w:t xml:space="preserve">10.1 million, which included a </w:t>
      </w:r>
      <w:bookmarkStart w:id="470" w:name="xdx_90C_ecustom--PercentageOfPremiumRede"/>
      <w:bookmarkEnd w:id="470"/>
      <w:r>
        <w:rPr>
          <w:rFonts w:ascii="Times New Roman;Times;Serif" w:hAnsi="Times New Roman;Times;Serif"/>
          <w:b w:val="false"/>
          <w:i w:val="false"/>
          <w:caps w:val="false"/>
          <w:smallCaps w:val="false"/>
          <w:sz w:val="20"/>
        </w:rPr>
        <w:t>20% premium of $</w:t>
      </w:r>
      <w:bookmarkStart w:id="471" w:name="xdx_90F_ecustom--PremiumAmountOfPipeShar"/>
      <w:bookmarkEnd w:id="471"/>
      <w:r>
        <w:rPr>
          <w:rFonts w:ascii="Times New Roman;Times;Serif" w:hAnsi="Times New Roman;Times;Serif"/>
          <w:b w:val="false"/>
          <w:i w:val="false"/>
          <w:caps w:val="false"/>
          <w:smallCaps w:val="false"/>
          <w:sz w:val="20"/>
        </w:rPr>
        <w:t>1.7 million pursuant to the Certificate of Designation governing the PIPE Shares and $</w:t>
      </w:r>
      <w:bookmarkStart w:id="472" w:name="xdx_900_ecustom--PaymentOfEffectivenessF"/>
      <w:bookmarkEnd w:id="472"/>
      <w:r>
        <w:rPr>
          <w:rFonts w:ascii="Times New Roman;Times;Serif" w:hAnsi="Times New Roman;Times;Serif"/>
          <w:b w:val="false"/>
          <w:i w:val="false"/>
          <w:caps w:val="false"/>
          <w:smallCaps w:val="false"/>
          <w:sz w:val="20"/>
        </w:rPr>
        <w:t>0.4 million in payments for the Effectiveness Failure. The remaining PIPE Shares of approximately $</w:t>
      </w:r>
      <w:bookmarkStart w:id="473" w:name="xdx_909_ecustom--RemainingPipeSharesAmou"/>
      <w:bookmarkEnd w:id="473"/>
      <w:r>
        <w:rPr>
          <w:rFonts w:ascii="Times New Roman;Times;Serif" w:hAnsi="Times New Roman;Times;Serif"/>
          <w:b w:val="false"/>
          <w:i w:val="false"/>
          <w:caps w:val="false"/>
          <w:smallCaps w:val="false"/>
          <w:sz w:val="20"/>
        </w:rPr>
        <w:t>0.2 million, not redeemed with the proceeds of the Registered Offering, were reset to the floor conversion price of $</w:t>
      </w:r>
      <w:bookmarkStart w:id="474" w:name="xdx_902_ecustom--CommonStockFloorConvers"/>
      <w:bookmarkEnd w:id="474"/>
      <w:r>
        <w:rPr>
          <w:rFonts w:ascii="Times New Roman;Times;Serif" w:hAnsi="Times New Roman;Times;Serif"/>
          <w:b w:val="false"/>
          <w:i w:val="false"/>
          <w:caps w:val="false"/>
          <w:smallCaps w:val="false"/>
          <w:sz w:val="20"/>
        </w:rPr>
        <w:t>2.00 per share of common stock.</w:t>
      </w:r>
    </w:p>
    <w:p>
      <w:pPr>
        <w:pStyle w:val="TextBody"/>
        <w:bidi w:val="0"/>
        <w:spacing w:before="0" w:after="0"/>
        <w:ind w:left="0" w:right="0" w:hanging="0"/>
        <w:jc w:val="left"/>
        <w:rPr>
          <w:caps w:val="false"/>
          <w:smallCaps w:val="false"/>
        </w:rPr>
      </w:pPr>
      <w:bookmarkStart w:id="475" w:name="xdx_81D_zgA233EeYNL3"/>
      <w:bookmarkEnd w:id="47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6" w:name="A_008"/>
      <w:bookmarkEnd w:id="476"/>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“we,” “us” or “our” refer to the combined business of ZyVersa Therapeutics, Inc., a Florida corporation, prior to the Business Combination and ZyVersa Therapeutics, Inc., a Delaware corporation, and its consolidated subsidiaries after giving effect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the results of operations and financial condition of ZyVersa Therapeutics, Inc. (the “Company”) as of March 31, 2023 and for the three months ended March 31, 2023 and 2022 should be read in conjunction with our unaudited condensed consolidated financial statements and the notes to those financial statements that are included elsewhere in this Quarterly Report on Form 10-Q. This discussion and analysis should be read in conjunction with the Company’s audited financial statements and related disclosures as of December 31, 2022 and for the year then ended, which are included in the Form 10-K (the “Annual Report”) filed with the Securities and Exchange Commission (“SEC”) on March 31, 2023.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specialty biopharmaceutical company leveraging advanced proprietary technologies to develop first-in-class drugs for patients with renal or inflammatory diseases with high unmet medical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renal drug candidate, which we refer to as Cholesterol Efflux Mediator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VAR 200 (2-hydroxypropyl-beta-cyclodextrin or “2HPβCD”) has potential to treat multiple renal diseases. Our lead anti-inflammatory drug candidate, which we refer to as Inflammasome ASC Inhibitor IC 100, is a humanized monoclonal IgG4 antibody inflammasome ASC inhibitor targeting ASC with potential to treat multiple inflammatory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2022 (the “Closing Date”), we consummated the previously announced Business Combination pursuant to the terms of that certain Business Combination Agreement, by and among ZyVersa Therapeutics, Inc., a Florida corporation (“Old ZyVersa”), the representative of Old ZyVersa’s shareholders named therein (the “Securityholder Representative”), Larkspur Health Acquisition Corp., a Delaware corporation (“Larkspur”) and Larkspur Merger Sub, Inc., a Delaware corporation and wholly owned subsidiary of Larkspur (“Merger Sub”) (the “Business Combination Agreement”). Pursuant to the terms of the Business Combination Agreement (and upon all other conditions of the Business Combination Agreement being satisfied or waived), on the Closing Date of the Business Combination and transactions contemplated thereby (the “Business Combination”), (i) Larkspur changed its name to “ZyVersa Therapeutics, Inc.”, a Delaware corporation (the “Company”) and (ii) Merger Sub merged with and into Old ZyVersa (the “Merger”), with Old ZyVersa as the surviving company in the Merger and, after giving effect to such Merger, Old ZyVersa became a wholly-owned subsidiary of the Company (collectively the “Successor”).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Business Combination, Larkspur was incorporated in Delaware on March 17, 2021 and ZyVersa Therapeutics, Inc. (“Predecessor”) was incorporated in the State of Florida on March 11, 2014 as Variant Pharmaceuticals, Inc. Larkspur Merger Sub, Inc. was incorporated in the state of Delaware on July 13, 2022. References to the “Company” or ZyVersa” refer to the Successor for the three months ended March 31, 2023, and to the Predecessor for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to date and have incurred significant operating losses. Our net losses were $3,543,950 for the period from January 1, 2023 through March 31, 2023 (the “Successor Period”) and $3,748,495 for the period from January 1, 2022 through March 31, 2022 (the “Predecessor Period”). As of March 31, 2023, we had an accumulated deficit of approximately $8.5 million and cash of $1.3 million. We expect to continue to incur significant expenses for the foreseeable future and to incur operating losses. We expect our expenses will increase in connection with our ongoing activities as we:</w:t>
      </w:r>
    </w:p>
    <w:p>
      <w:pPr>
        <w:pStyle w:val="TextBody"/>
        <w:bidi w:val="0"/>
        <w:spacing w:before="0" w:after="0"/>
        <w:ind w:left="0" w:right="0" w:firstLine="72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development of VAR 200 and IC 100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regulatory submissions;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 to manufacture our product candidates for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hire additional research and development, finance, and general and administrative personnel;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 and defend our intellectual property;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 the requirements of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in the discovery and development of our product candidates, and primarily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third party agreements with contract research organizations (“CROs”), and investigative sites, that conducted or will conduct our clinical trials and a portion of our pre-clinical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raw materials, as well as manufacturing cost of our materials used in clinical trials and other development testing;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salaries, stock-based compensation and benefits of employees engaged in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equipment, depreciation and other allocated expenses;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paid for contracted regulatory services as well as fees paid to regulatory authorities including the US Food and Drug Administration (the “FDA”) for review and approval of our product candidates.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We expect that our research and development expenses will continue to increase for the foreseeable future as we continue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any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as a result of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patient populations participating in the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a patient receives;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state of the product candidates;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product candidates.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interest on indebtedness and accretion of debt discount which are associated with the unsecured convertible promissory notes which bear interest at a rate equal to 6%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 represents the periodic mark-to-market of our derivative liabilities. The Company recorded derivative liabilities that were measured at fair value at issuance, related to the redemption features and put options of certain convertible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2023 (Successor Period) and the three months ended March 31, 2022 (Predecessor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Successor for the three months ended March 31, 2023 and for the Predecessor for the three months ended March 31, 2022.</w:t>
      </w:r>
    </w:p>
    <w:p>
      <w:pPr>
        <w:pStyle w:val="TextBody"/>
        <w:bidi w:val="0"/>
        <w:spacing w:before="0" w:after="0"/>
        <w:ind w:left="0" w:right="0" w:firstLine="72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2825"/>
        <w:gridCol w:w="60"/>
        <w:gridCol w:w="276"/>
        <w:gridCol w:w="1258"/>
        <w:gridCol w:w="95"/>
        <w:gridCol w:w="60"/>
        <w:gridCol w:w="276"/>
        <w:gridCol w:w="1258"/>
        <w:gridCol w:w="95"/>
        <w:gridCol w:w="60"/>
        <w:gridCol w:w="229"/>
        <w:gridCol w:w="1040"/>
        <w:gridCol w:w="155"/>
        <w:gridCol w:w="98"/>
        <w:gridCol w:w="107"/>
        <w:gridCol w:w="1008"/>
        <w:gridCol w:w="30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Predecessor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For the Three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Favorable (Unfavorable)</w:t>
            </w:r>
          </w:p>
        </w:tc>
        <w:tc>
          <w:tcPr>
            <w:tcW w:w="305" w:type="dxa"/>
            <w:tcBorders/>
            <w:vAlign w:val="center"/>
          </w:tcPr>
          <w:p>
            <w:pPr>
              <w:pStyle w:val="TableContents"/>
              <w:bidi w:val="0"/>
              <w:spacing w:before="0" w:after="283"/>
              <w:jc w:val="left"/>
              <w:rPr/>
            </w:pPr>
            <w:r>
              <w:rPr/>
              <w:t> </w:t>
            </w:r>
          </w:p>
        </w:tc>
      </w:tr>
      <w:tr>
        <w:trPr/>
        <w:tc>
          <w:tcPr>
            <w:tcW w:w="2825" w:type="dxa"/>
            <w:tcBorders>
              <w:bottom w:val="single" w:sz="12"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1,056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1,067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040" w:type="dxa"/>
            <w:tcBorders/>
            <w:shd w:fill="FFFFFF" w:val="clear"/>
            <w:vAlign w:val="center"/>
          </w:tcPr>
          <w:p>
            <w:pPr>
              <w:pStyle w:val="TableContents"/>
              <w:bidi w:val="0"/>
              <w:spacing w:before="0" w:after="283"/>
              <w:jc w:val="right"/>
              <w:rPr/>
            </w:pPr>
            <w:r>
              <w:rPr/>
              <w:t>11</w:t>
            </w:r>
          </w:p>
        </w:tc>
        <w:tc>
          <w:tcPr>
            <w:tcW w:w="15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1.0</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3,536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2,301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pPr>
            <w:r>
              <w:rPr/>
              <w:t>(1,235</w:t>
            </w:r>
          </w:p>
        </w:tc>
        <w:tc>
          <w:tcPr>
            <w:tcW w:w="155"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(53.7</w:t>
            </w:r>
          </w:p>
        </w:tc>
        <w:tc>
          <w:tcPr>
            <w:tcW w:w="305" w:type="dxa"/>
            <w:tcBorders/>
            <w:shd w:fill="CCEEFF" w:val="clear"/>
            <w:vAlign w:val="center"/>
          </w:tcPr>
          <w:p>
            <w:pPr>
              <w:pStyle w:val="TableContents"/>
              <w:bidi w:val="0"/>
              <w:spacing w:before="0" w:after="283"/>
              <w:jc w:val="left"/>
              <w:rPr/>
            </w:pPr>
            <w:r>
              <w:rPr/>
              <w:t>)%</w:t>
            </w:r>
          </w:p>
        </w:tc>
      </w:tr>
      <w:tr>
        <w:trPr/>
        <w:tc>
          <w:tcPr>
            <w:tcW w:w="282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4,592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3,368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FFFFFF" w:val="clear"/>
            <w:tcMar>
              <w:bottom w:w="28" w:type="dxa"/>
            </w:tcMar>
            <w:vAlign w:val="center"/>
          </w:tcPr>
          <w:p>
            <w:pPr>
              <w:pStyle w:val="TableContents"/>
              <w:bidi w:val="0"/>
              <w:spacing w:before="0" w:after="283"/>
              <w:jc w:val="right"/>
              <w:rPr/>
            </w:pPr>
            <w:r>
              <w:rPr/>
              <w:t>(1,224</w:t>
            </w:r>
          </w:p>
        </w:tc>
        <w:tc>
          <w:tcPr>
            <w:tcW w:w="155"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(36.3</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Total Operating Loss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(4,592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(3,368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(1,224</w:t>
            </w:r>
          </w:p>
        </w:tc>
        <w:tc>
          <w:tcPr>
            <w:tcW w:w="155"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(36.3</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FFFFFF" w:val="clear"/>
            <w:tcMar>
              <w:bottom w:w="28" w:type="dxa"/>
            </w:tcMar>
            <w:vAlign w:val="center"/>
          </w:tcPr>
          <w:p>
            <w:pPr>
              <w:pStyle w:val="TableContents"/>
              <w:bidi w:val="0"/>
              <w:spacing w:before="0" w:after="283"/>
              <w:jc w:val="right"/>
              <w:rPr/>
            </w:pPr>
            <w:r>
              <w:rPr/>
              <w:t>381</w:t>
            </w:r>
          </w:p>
        </w:tc>
        <w:tc>
          <w:tcPr>
            <w:tcW w:w="15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100.3</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Net Loss Before Income Tax</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(4,591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(3,748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(843</w:t>
            </w:r>
          </w:p>
        </w:tc>
        <w:tc>
          <w:tcPr>
            <w:tcW w:w="155"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22.5</w:t>
            </w:r>
          </w:p>
        </w:tc>
        <w:tc>
          <w:tcPr>
            <w:tcW w:w="305"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pPr>
            <w:r>
              <w:rPr/>
              <w:t>1,047</w:t>
            </w:r>
          </w:p>
        </w:tc>
        <w:tc>
          <w:tcPr>
            <w:tcW w:w="15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28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FFFFFF" w:val="clear"/>
            <w:tcMar>
              <w:bottom w:w="28" w:type="dxa"/>
            </w:tcMar>
            <w:vAlign w:val="center"/>
          </w:tcPr>
          <w:p>
            <w:pPr>
              <w:pStyle w:val="TableContents"/>
              <w:bidi w:val="0"/>
              <w:spacing w:before="0" w:after="283"/>
              <w:jc w:val="right"/>
              <w:rPr/>
            </w:pPr>
            <w:r>
              <w:rPr/>
              <w:t>(3,544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FFFFFF" w:val="clear"/>
            <w:tcMar>
              <w:bottom w:w="28" w:type="dxa"/>
            </w:tcMar>
            <w:vAlign w:val="center"/>
          </w:tcPr>
          <w:p>
            <w:pPr>
              <w:pStyle w:val="TableContents"/>
              <w:bidi w:val="0"/>
              <w:spacing w:before="0" w:after="283"/>
              <w:jc w:val="right"/>
              <w:rPr/>
            </w:pPr>
            <w:r>
              <w:rPr/>
              <w:t>(3,748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FFFFFF" w:val="clear"/>
            <w:tcMar>
              <w:bottom w:w="28" w:type="dxa"/>
            </w:tcMar>
            <w:vAlign w:val="center"/>
          </w:tcPr>
          <w:p>
            <w:pPr>
              <w:pStyle w:val="TableContents"/>
              <w:bidi w:val="0"/>
              <w:spacing w:before="0" w:after="283"/>
              <w:jc w:val="right"/>
              <w:rPr/>
            </w:pPr>
            <w:r>
              <w:rPr/>
              <w:t>205</w:t>
            </w:r>
          </w:p>
        </w:tc>
        <w:tc>
          <w:tcPr>
            <w:tcW w:w="15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pPr>
            <w:r>
              <w:rPr/>
              <w:t>5.5</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consistent at approximately $1.1 million for the three months ended March 31, 2023, with an immaterial decrease of $11 thousand or 1.0% from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$3.5 million for the three months ended March 31, 2023, an increase of $1.2 million or 53.7% from the three months ended March 31, 2022. The increase is primarily attributable to an increase of $0.4 million in director and officer insurance, a $0.4 million increase in marketing costs for investor and public relations and $0.4 million in payments for the Effectiveness Failure related to the PIPE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 was $1 thousand for the three months ended March 31, 2023, a decrease of $0.4 million or 100.3% from the three months ended, March 31, 2022. The change was a result of a decrease in interest expense of approximately $0.2 million as a result of convertible debt conversions to equity, and a decrease for the change in the fair value of the derivative liabilities of $0.2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and financing activities for the Successor for the three months ended March 31, 2023 for the Predecessor for the three months ended March 31, 2022:</w:t>
      </w:r>
    </w:p>
    <w:p>
      <w:pPr>
        <w:pStyle w:val="TextBody"/>
        <w:bidi w:val="0"/>
        <w:spacing w:before="0" w:after="0"/>
        <w:ind w:left="0" w:right="0" w:firstLine="720"/>
        <w:jc w:val="both"/>
        <w:rPr>
          <w:caps w:val="false"/>
          <w:smallCaps w:val="false"/>
        </w:rPr>
      </w:pPr>
      <w:r>
        <w:rPr>
          <w:caps w:val="false"/>
          <w:smallCaps w:val="false"/>
        </w:rPr>
        <w:t> </w:t>
      </w:r>
    </w:p>
    <w:tbl>
      <w:tblPr>
        <w:tblW w:w="5696" w:type="dxa"/>
        <w:jc w:val="left"/>
        <w:tblInd w:w="0" w:type="dxa"/>
        <w:tblLayout w:type="fixed"/>
        <w:tblCellMar>
          <w:top w:w="0" w:type="dxa"/>
          <w:left w:w="0" w:type="dxa"/>
          <w:bottom w:w="0" w:type="dxa"/>
          <w:right w:w="0" w:type="dxa"/>
        </w:tblCellMar>
      </w:tblPr>
      <w:tblGrid>
        <w:gridCol w:w="3080"/>
        <w:gridCol w:w="60"/>
        <w:gridCol w:w="224"/>
        <w:gridCol w:w="1020"/>
        <w:gridCol w:w="152"/>
        <w:gridCol w:w="96"/>
        <w:gridCol w:w="224"/>
        <w:gridCol w:w="730"/>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6" w:type="dxa"/>
            <w:gridSpan w:val="6"/>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3080" w:type="dxa"/>
            <w:tcBorders>
              <w:bottom w:val="single" w:sz="12"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020" w:type="dxa"/>
            <w:tcBorders/>
            <w:shd w:fill="FFFFFF" w:val="clear"/>
            <w:vAlign w:val="center"/>
          </w:tcPr>
          <w:p>
            <w:pPr>
              <w:pStyle w:val="TableContents"/>
              <w:bidi w:val="0"/>
              <w:spacing w:before="0" w:after="283"/>
              <w:jc w:val="right"/>
              <w:rPr/>
            </w:pPr>
            <w:r>
              <w:rPr/>
              <w:t>(4,589</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730" w:type="dxa"/>
            <w:tcBorders/>
            <w:shd w:fill="FFFFFF" w:val="clear"/>
            <w:vAlign w:val="center"/>
          </w:tcPr>
          <w:p>
            <w:pPr>
              <w:pStyle w:val="TableContents"/>
              <w:bidi w:val="0"/>
              <w:spacing w:before="0" w:after="283"/>
              <w:jc w:val="right"/>
              <w:rPr/>
            </w:pPr>
            <w:r>
              <w:rPr/>
              <w:t>(374</w:t>
            </w:r>
          </w:p>
        </w:tc>
        <w:tc>
          <w:tcPr>
            <w:tcW w:w="11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pPr>
            <w:r>
              <w:rPr/>
              <w:t>393</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pPr>
            <w:r>
              <w:rPr/>
              <w:t>(4,624</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0"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$4.6 million and $0.4 million for the three months ended March 31, 2023 and 2022, respectively. For the three months ended March 31, 2023 and for the three months ended March 31, 2022, the net cash used in operating activities was primarily attributable to the net loss of approximately $3.5 million and $3.7 million, respectively, offset by ($0.8) million and $2.2 million, respectively, of net non-cash expenses, and approximately ($0.3) million and $1.2 million, respectively, of cash generated by or (used in) the levels of operating assets and liabilities,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 was ($35) thousand and $0.4 million for the three months ended March 31, 2023 and 2022, respectively. Cash provided by financing activities during the three months ended March 31, 2022 represented proceeds from the issuance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total current assets, liabilities and working capital deficiency at March 31, 2023 and 2022, respectively:</w:t>
      </w:r>
    </w:p>
    <w:p>
      <w:pPr>
        <w:pStyle w:val="TextBody"/>
        <w:bidi w:val="0"/>
        <w:spacing w:before="0" w:after="0"/>
        <w:ind w:left="0" w:right="0" w:firstLine="720"/>
        <w:jc w:val="left"/>
        <w:rPr>
          <w:caps w:val="false"/>
          <w:smallCaps w:val="false"/>
        </w:rPr>
      </w:pPr>
      <w:r>
        <w:rPr>
          <w:caps w:val="false"/>
          <w:smallCaps w:val="false"/>
        </w:rPr>
        <w:t> </w:t>
      </w:r>
    </w:p>
    <w:tbl>
      <w:tblPr>
        <w:tblW w:w="5323" w:type="dxa"/>
        <w:jc w:val="left"/>
        <w:tblInd w:w="0" w:type="dxa"/>
        <w:tblLayout w:type="fixed"/>
        <w:tblCellMar>
          <w:top w:w="0" w:type="dxa"/>
          <w:left w:w="0" w:type="dxa"/>
          <w:bottom w:w="0" w:type="dxa"/>
          <w:right w:w="0" w:type="dxa"/>
        </w:tblCellMar>
      </w:tblPr>
      <w:tblGrid>
        <w:gridCol w:w="2705"/>
        <w:gridCol w:w="60"/>
        <w:gridCol w:w="201"/>
        <w:gridCol w:w="912"/>
        <w:gridCol w:w="136"/>
        <w:gridCol w:w="86"/>
        <w:gridCol w:w="201"/>
        <w:gridCol w:w="912"/>
        <w:gridCol w:w="11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2705" w:type="dxa"/>
            <w:tcBorders>
              <w:bottom w:val="single" w:sz="12"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pPr>
            <w:r>
              <w:rPr/>
              <w:t>2,835</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pPr>
            <w:r>
              <w:rPr/>
              <w:t>6,363</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pPr>
            <w:r>
              <w:rPr/>
              <w:t>8,578</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pPr>
            <w:r>
              <w:rPr/>
              <w:t>8,188</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Working Capital Deficiency</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pPr>
            <w:r>
              <w:rPr/>
              <w:t>(5,743</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pPr>
            <w:r>
              <w:rPr/>
              <w:t>(1,825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2014 through March 31, 2023, we have not generated any revenue and have incurred significant operating losses and negative cash flows from our operations. Based on our current operating plan, we expect our cash of $1.3 million as of March 31, 2023 will only be sufficient to fund our operating expenses and capital expenditure requirements on a month-to-month basis. However,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$3.5 million for the three months ended March 31, 2023 and a net loss of $3.7 million for the three months ended March 31, 2022, and we had an accumulated deficit of $8.5 million at March 31, 2023.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by us to fund our operations, to complete development of and to commercially develop our product candidates. There is no assurance that such financing will be available when needed or on acceptable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contractual obligations as of March 31, 2023 that will affect our future liquidity. Based on our current operating plan, we plan to satisfy the obligations identified below from our current cash balance and future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requirements for our current liabilities as of March 31, 2023 include approximately $8.6 million for accounts payable and accrued expenses.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Post-Business Combination Capital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cash on hand will enable us to make investments in our continued development of VAR200 and IC100 through at least the first half of 2023. We intend to raise additional capital in the future to fund continued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raise additional capital by issuing equity or equity-linked securities in subsequent offerings. If we are unable to raise additional capital by issuing equity or equity-linked securities on terms favorable to us, we may not have sufficient liquidity to execute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invest any cash in excess of our immediate requirements in investments designed to preserve the principal balance and provide liquidity while producing a modest return on investment. Accordingly, our cash equivalents will be invested primarily in money market funds which are currently providing only a minimal return given the current interest rate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use of operating cash and capital requirements will depend on many forward-looking factors,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progress, timing, costs and results of clinical trials for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development plans we establish for each product candidate;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characteristics of product candidates that we develop or may in-license;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collaboration agreements we may choose to execute;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 of meeting regulatory requirements established by the FDA or other comparable foreign regulatory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filing, prosecuting, defending and enforcing our patent claims and other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defending intellectual property disputes, including patent infringement actions brought by third parties against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the implementation of commercial scale manufacturing activities;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or outsourcing, sales, marketing and distribution capabilities for any product candidates for which we may receive regulatory approval in regions where we choose to commercialize our products on our own.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We expect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rely on the other exemptions and reduced reporting requirements provided by the JOBS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our Annual Report on Form 10-K for the year ended December 31, 2022, filed with the SEC on March 31, 2023 and Note 2 to the condensed consolidated financial statements of this Quarterly Report on Form 10-Q, for a discussion of our critical accounting policies and 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7" w:name="A_009"/>
      <w:bookmarkEnd w:id="477"/>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8" w:name="A_010"/>
      <w:bookmarkEnd w:id="478"/>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Rules 13a-15 and 15d-15 under the Exchange Act, our Chief Executive Officer and Chief Financial Officer carried out an evaluation of the effectiveness of the design and operation of our disclosure controls and procedures as of December 31, 2022. Based upon their evaluation and due to the material weakness cited below, our Chief Executive Officer and Chief Financial Officer concluded that our disclosure controls and procedures (as defined in Rules 13a-15(e) and 15d-15(e) under the Exchange Act) were ineffective.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our management determined that our internal controls over financial reporting were not effective as of December 31, 2022. Specifically, management’s conclusion was based on the following material weakness which existed as of December 31, 2022:</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implement effective controls over the accounting for significant and complex non-routine transactions.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plans to establish procedures to monitor and evaluate the effectiveness of our internal controls over financial reporting on an ongoing basis and are committed to taking further action and implementing necessary enhancements or improvements, including those necessary to address the material weakness cited above. Management expects to complete its assessment of the design and operating effectiveness of its internal controls over financial reporting, including the development and implementation of its remediation plan, during 2023. However, the material weakness will not be considered remediated until the applicable controls operate for a sufficient period of time and management has concluded, through testing, that these controls are operating effectively.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Limitations of the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expect that our disclosure controls and procedures or our internal control over financial reporting will prevent or detect all error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79" w:name="A_011"/>
      <w:bookmarkEnd w:id="479"/>
      <w:r>
        <w:rPr>
          <w:rFonts w:ascii="Times New Roman;Times;Serif" w:hAnsi="Times New Roman;Times;Serif"/>
          <w:b/>
          <w:i w:val="false"/>
          <w:caps w:val="false"/>
          <w:smallCaps w:val="false"/>
          <w:sz w:val="20"/>
        </w:rPr>
        <w:t>PART II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0" w:name="A_012"/>
      <w:bookmarkEnd w:id="480"/>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1" w:name="A_013"/>
      <w:bookmarkEnd w:id="481"/>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information required by this Item. However, investors are encouraged to review our current risk factors set forth in our Annual Report on Form 10-K for the year ended December 31, 2022, filed with the SEC on March 31, 2023.</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2" w:name="A_014"/>
      <w:bookmarkEnd w:id="482"/>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2023, we issued 10,000 shares of our common stock to a consultant in consideration of services rendered in an aggregate amount equal to $23,400.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2023, we issued 120,000 shares of our common stock to a consultant in consideration of services rendered in an aggregate amount equal to $280,800.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deemed the offers, sales and issuances of the securities described above to be exempt from registration under the Securities Act of 1933, as amended (the “Securities Act”), in reliance on Section 4(a)(2) of the Securities Act, including Regulation D and Rule 506 promulgated thereunder, relative to transactions by an issuer not involving a public offering.</w:t>
      </w:r>
    </w:p>
    <w:p>
      <w:pPr>
        <w:pStyle w:val="TextBody"/>
        <w:shd w:fill="FFFFFF" w:val="clear"/>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3" w:name="A_015"/>
      <w:bookmarkEnd w:id="483"/>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4" w:name="A_016"/>
      <w:bookmarkEnd w:id="484"/>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5" w:name="A_017"/>
      <w:bookmarkEnd w:id="485"/>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6" w:name="A_018"/>
      <w:bookmarkEnd w:id="486"/>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2"/>
        <w:gridCol w:w="60"/>
        <w:gridCol w:w="9343"/>
      </w:tblGrid>
      <w:tr>
        <w:trPr/>
        <w:tc>
          <w:tcPr>
            <w:tcW w:w="802"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3"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3"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shd w:fill="FFFFFF" w:val="clear"/>
                </w:rPr>
                <w:t>Form of Warrant issued by the Company (incorporated by reference to Exhibit 4.8 to the Company’s Registration Statement on Form S-1 filed with the SEC on February 13, 2023)</w:t>
              </w:r>
            </w:hyperlink>
          </w:p>
        </w:tc>
      </w:tr>
      <w:tr>
        <w:trPr/>
        <w:tc>
          <w:tcPr>
            <w:tcW w:w="80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3"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shd w:fill="FFFFFF" w:val="clear"/>
                </w:rPr>
                <w:t>Form of Pre-Funded Warrant issued by the Company (incorporated by reference to Exhibit 4.9 to the Company’s Registration Statement on Form S-1 filed with the SEC on February 13, 2023)</w:t>
              </w:r>
            </w:hyperlink>
          </w:p>
        </w:tc>
      </w:tr>
      <w:tr>
        <w:trPr/>
        <w:tc>
          <w:tcPr>
            <w:tcW w:w="80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3"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shd w:fill="FFFFFF" w:val="clear"/>
                </w:rPr>
                <w:t>Form of Placement Agency Agreement (incorporated by reference to Exhibit 1.1 to the Company’s Registration Statement on Form S-1 filed with the SEC on February 13, 2023)</w:t>
              </w:r>
            </w:hyperlink>
          </w:p>
        </w:tc>
      </w:tr>
      <w:tr>
        <w:trPr/>
        <w:tc>
          <w:tcPr>
            <w:tcW w:w="80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3"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shd w:fill="FFFFFF" w:val="clear"/>
                </w:rPr>
                <w:t>Form of Securities Purchase Agreement (incorporated by reference to Exhibit 10.22 to the Company’s Registration Statement on Form S-1 filed with the SEC on February 13, 2023)</w:t>
              </w:r>
            </w:hyperlink>
          </w:p>
        </w:tc>
      </w:tr>
      <w:tr>
        <w:trPr/>
        <w:tc>
          <w:tcPr>
            <w:tcW w:w="802" w:type="dxa"/>
            <w:tcBorders/>
            <w:tcMar>
              <w:bottom w:w="0" w:type="dxa"/>
            </w:tcMar>
            <w:vAlign w:val="center"/>
          </w:tcPr>
          <w:p>
            <w:pPr>
              <w:pStyle w:val="TableContents"/>
              <w:bidi w:val="0"/>
              <w:spacing w:before="0" w:after="283"/>
              <w:jc w:val="left"/>
              <w:rPr/>
            </w:pPr>
            <w:r>
              <w:rPr/>
              <w:t>31.1*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ex31-1.htm">
              <w:r>
                <w:rPr>
                  <w:rStyle w:val="InternetLink"/>
                </w:rPr>
                <w:t>Certification of Chief Executive Officer pursuant to Rule 13a-14(a) or Rule 15d-14(a).</w:t>
              </w:r>
            </w:hyperlink>
          </w:p>
        </w:tc>
      </w:tr>
      <w:tr>
        <w:trPr/>
        <w:tc>
          <w:tcPr>
            <w:tcW w:w="802" w:type="dxa"/>
            <w:tcBorders/>
            <w:tcMar>
              <w:bottom w:w="0" w:type="dxa"/>
            </w:tcMar>
            <w:vAlign w:val="center"/>
          </w:tcPr>
          <w:p>
            <w:pPr>
              <w:pStyle w:val="TableContents"/>
              <w:bidi w:val="0"/>
              <w:spacing w:before="0" w:after="283"/>
              <w:jc w:val="left"/>
              <w:rPr/>
            </w:pPr>
            <w:r>
              <w:rPr/>
              <w:t>31.2*</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hyperlink w:anchor="ex31-2.htm">
              <w:r>
                <w:rPr>
                  <w:rStyle w:val="InternetLink"/>
                </w:rPr>
                <w:t>Certification of Chief Financial Officer pursuant to Rule 13a-14(a) or Rule 15d-14(a).</w:t>
              </w:r>
            </w:hyperlink>
          </w:p>
        </w:tc>
      </w:tr>
      <w:tr>
        <w:trPr/>
        <w:tc>
          <w:tcPr>
            <w:tcW w:w="802" w:type="dxa"/>
            <w:tcBorders/>
            <w:tcMar>
              <w:bottom w:w="0" w:type="dxa"/>
            </w:tcMar>
            <w:vAlign w:val="center"/>
          </w:tcPr>
          <w:p>
            <w:pPr>
              <w:pStyle w:val="TableContents"/>
              <w:bidi w:val="0"/>
              <w:spacing w:before="0" w:after="283"/>
              <w:jc w:val="left"/>
              <w:rPr/>
            </w:pPr>
            <w:r>
              <w:rPr/>
              <w:t>32.1**</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lineRule="auto" w:line="256" w:before="0" w:after="283"/>
              <w:jc w:val="both"/>
              <w:rPr/>
            </w:pPr>
            <w:hyperlink w:anchor="ex32-1.htm">
              <w:r>
                <w:rPr>
                  <w:rStyle w:val="InternetLink"/>
                  <w:rFonts w:ascii="Times New Roman;Times;Serif" w:hAnsi="Times New Roman;Times;Serif"/>
                  <w:sz w:val="20"/>
                </w:rPr>
                <w:t>Certification of Chief Executive Officer and Chief Financial Officer pursuant to 18 U.S.C. Section 1350.</w:t>
              </w:r>
            </w:hyperlink>
            <w:r>
              <w:rPr/>
              <w:t xml:space="preserve"> </w:t>
            </w:r>
          </w:p>
        </w:tc>
      </w:tr>
      <w:tr>
        <w:trPr/>
        <w:tc>
          <w:tcPr>
            <w:tcW w:w="802" w:type="dxa"/>
            <w:tcBorders/>
            <w:tcMar>
              <w:bottom w:w="0" w:type="dxa"/>
            </w:tcMar>
            <w:vAlign w:val="center"/>
          </w:tcPr>
          <w:p>
            <w:pPr>
              <w:pStyle w:val="TableContents"/>
              <w:bidi w:val="0"/>
              <w:spacing w:before="0" w:after="283"/>
              <w:jc w:val="left"/>
              <w:rPr/>
            </w:pPr>
            <w:r>
              <w:rPr/>
              <w:t>101. INS</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lineRule="auto" w:line="256" w:before="0" w:after="283"/>
              <w:jc w:val="both"/>
              <w:rPr/>
            </w:pPr>
            <w:r>
              <w:rPr>
                <w:rFonts w:ascii="Times New Roman;Times;Serif" w:hAnsi="Times New Roman;Times;Serif"/>
                <w:sz w:val="20"/>
              </w:rPr>
              <w:t>XBRL Inline Instance Document (the instance document does not appear in the Interactive Data File because its XBRL tags are embedded within the Inline XBRL document).</w:t>
            </w:r>
            <w:r>
              <w:rPr/>
              <w:t xml:space="preserve"> </w:t>
            </w:r>
          </w:p>
        </w:tc>
      </w:tr>
      <w:tr>
        <w:trPr/>
        <w:tc>
          <w:tcPr>
            <w:tcW w:w="802"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343" w:type="dxa"/>
            <w:tcBorders/>
            <w:tcMar>
              <w:bottom w:w="0" w:type="dxa"/>
            </w:tcMar>
            <w:vAlign w:val="center"/>
          </w:tcPr>
          <w:p>
            <w:pPr>
              <w:pStyle w:val="TableContents"/>
              <w:bidi w:val="0"/>
              <w:spacing w:before="0" w:after="283"/>
              <w:jc w:val="both"/>
              <w:rPr/>
            </w:pPr>
            <w:r>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Filed herewith.</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Furnished, not filed, herewith.</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87" w:name="A_019"/>
      <w:bookmarkEnd w:id="487"/>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quarterly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760"/>
        <w:gridCol w:w="320"/>
        <w:gridCol w:w="236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12,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C, Glover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C. Glover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760"/>
        <w:gridCol w:w="320"/>
        <w:gridCol w:w="365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12,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Wolfe</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Wolfe</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88" w:name="ex31-1.htm"/>
      <w:bookmarkStart w:id="489" w:name="ksex311"/>
      <w:bookmarkEnd w:id="488"/>
      <w:bookmarkEnd w:id="489"/>
      <w:r>
        <w:rPr>
          <w:caps w:val="false"/>
          <w:smallCaps w:val="false"/>
        </w:rPr>
        <w:t> </w:t>
      </w:r>
      <w:r>
        <w:br w:type="page"/>
      </w:r>
    </w:p>
    <w:p>
      <w:pPr>
        <w:pStyle w:val="TextBody"/>
        <w:bidi w:val="0"/>
        <w:spacing w:before="0" w:after="0"/>
        <w:ind w:left="677"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C. Glover, certify that:</w:t>
      </w:r>
    </w:p>
    <w:p>
      <w:pPr>
        <w:pStyle w:val="TextBody"/>
        <w:bidi w:val="0"/>
        <w:spacing w:before="0" w:after="0"/>
        <w:ind w:left="67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85"/>
        <w:gridCol w:w="9867"/>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ZYVERSA THERAPEUTICS, INC.;</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760"/>
        <w:gridCol w:w="320"/>
        <w:gridCol w:w="236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12,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C. Glover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C. Glover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90" w:name="ex31-2.htm"/>
      <w:bookmarkStart w:id="491" w:name="ksex312"/>
      <w:bookmarkEnd w:id="490"/>
      <w:bookmarkEnd w:id="491"/>
      <w:r>
        <w:rPr>
          <w:caps w:val="false"/>
          <w:smallCaps w:val="false"/>
        </w:rPr>
        <w:t> </w:t>
      </w:r>
      <w:r>
        <w:br w:type="page"/>
      </w:r>
    </w:p>
    <w:p>
      <w:pPr>
        <w:pStyle w:val="TextBody"/>
        <w:bidi w:val="0"/>
        <w:spacing w:before="0" w:after="0"/>
        <w:ind w:left="677"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Peter Wolfe, certify that:</w:t>
      </w:r>
    </w:p>
    <w:p>
      <w:pPr>
        <w:pStyle w:val="TextBody"/>
        <w:bidi w:val="0"/>
        <w:spacing w:before="0" w:after="0"/>
        <w:ind w:left="67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85"/>
        <w:gridCol w:w="9867"/>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ZYVERSA THERAPEUTICS, INC.;</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8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760"/>
        <w:gridCol w:w="320"/>
        <w:gridCol w:w="365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12,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Wolfe</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Wolfe</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92" w:name="ex32-1.htm"/>
      <w:bookmarkStart w:id="493" w:name="ksex321"/>
      <w:bookmarkEnd w:id="492"/>
      <w:bookmarkEnd w:id="493"/>
      <w:r>
        <w:rPr>
          <w:caps w:val="false"/>
          <w:smallCaps w:val="false"/>
        </w:rPr>
        <w:t> </w:t>
      </w:r>
      <w:r>
        <w:br w:type="page"/>
      </w:r>
    </w:p>
    <w:p>
      <w:pPr>
        <w:pStyle w:val="TextBody"/>
        <w:bidi w:val="0"/>
        <w:spacing w:before="0" w:after="0"/>
        <w:ind w:left="1286"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ZYVERSA THERAPEUTICS, INC. (the “Company”) on Form 10-Q for the quarter ended March 31, 2023,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 as of the dates and for the periods expressed in the Report.</w:t>
      </w:r>
    </w:p>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575"/>
        <w:gridCol w:w="1160"/>
        <w:gridCol w:w="320"/>
        <w:gridCol w:w="236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C. Glover</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C. Glover</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5705" w:type="dxa"/>
        <w:jc w:val="left"/>
        <w:tblInd w:w="0" w:type="dxa"/>
        <w:tblLayout w:type="fixed"/>
        <w:tblCellMar>
          <w:top w:w="0" w:type="dxa"/>
          <w:left w:w="0" w:type="dxa"/>
          <w:bottom w:w="0" w:type="dxa"/>
          <w:right w:w="0" w:type="dxa"/>
        </w:tblCellMar>
      </w:tblPr>
      <w:tblGrid>
        <w:gridCol w:w="575"/>
        <w:gridCol w:w="1160"/>
        <w:gridCol w:w="320"/>
        <w:gridCol w:w="365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Wolfe</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Wolfe</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9007/000149315223004396/ex4-8.htm" TargetMode="External"/><Relationship Id="rId3" Type="http://schemas.openxmlformats.org/officeDocument/2006/relationships/hyperlink" Target="https://www.sec.gov/Archives/edgar/data/1859007/000149315223004396/ex4-9.htm" TargetMode="External"/><Relationship Id="rId4" Type="http://schemas.openxmlformats.org/officeDocument/2006/relationships/hyperlink" Target="https://www.sec.gov/Archives/edgar/data/1859007/000149315223004396/ex1-1.htm" TargetMode="External"/><Relationship Id="rId5" Type="http://schemas.openxmlformats.org/officeDocument/2006/relationships/hyperlink" Target="https://www.sec.gov/Archives/edgar/data/1859007/000149315223004396/ex10-2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11808</Words>
  <Characters>65841</Characters>
  <CharactersWithSpaces>79370</CharactersWithSpaces>
  <Paragraphs>4524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