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3600" w:right="1860" w:hanging="359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8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216"/>
        </w:trPr>
        <w:tc>
          <w:tcPr>
            <w:tcW w:w="48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8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8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20"/>
        </w:trPr>
        <w:tc>
          <w:tcPr>
            <w:tcW w:w="48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Weston, FL 33326</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34"/>
        </w:trPr>
        <w:tc>
          <w:tcPr>
            <w:tcW w:w="48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(754) 231-1688</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45"/>
        </w:trPr>
        <w:tc>
          <w:tcPr>
            <w:tcW w:w="48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ZVSA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22"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2024, the last business day of the registrant’s most recently completed second fiscal quarter, the aggregate market value of shares of the registrant’s common stock held by non-affiliates of the registrant (based upon the closing sales price of $3.76 for such shares on the Nasdaq Capital Market on June 28, 2024) was approximately $3.1 million. For purposes of calculating the aggregate market value of shares held by non-affiliates, we have assumed that all outstanding shares are held by non-affiliates, except for shares held by each of our executive officers, directors, and 5% or greater stockholders. In the case of 5% or greater stockholders, we have not deemed such stockholders to be affiliates unless there are facts and circumstances which would indicate that such stockholders exercise any control over our company, or unless they hold 10% or more of our outstanding common stock. These assumptions should not be deemed to constitute an admission that all executive officers, directors, and 5% or greater stockholders are, in fact, affiliates of our company, or that there are not other persons who may be deemed to be affiliates of our company. Further information concerning shareholdings of our officers, directors, and principal stockholders is included or incorporated by reference in Part III, Item 12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20, 2025, the number of shares outstanding of the registrant’s common stock, $0.0001 par value per share, was 2,568,191.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6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60" w:type="dxa"/>
            <w:vAlign w:val="bottom"/>
            <w:gridSpan w:val="1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640" w:type="dxa"/>
            <w:vAlign w:val="bottom"/>
          </w:tcPr>
          <w:p>
            <w:pPr>
              <w:spacing w:after="0"/>
              <w:rPr>
                <w:sz w:val="18"/>
                <w:szCs w:val="18"/>
                <w:color w:val="auto"/>
              </w:rPr>
            </w:pPr>
          </w:p>
        </w:tc>
      </w:t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45"/>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600" w:type="dxa"/>
            <w:vAlign w:val="bottom"/>
            <w:tcBorders>
              <w:bottom w:val="single" w:sz="8" w:color="0000EE"/>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w:t>
            </w:r>
          </w:p>
        </w:tc>
        <w:tc>
          <w:tcPr>
            <w:tcW w:w="70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5</w:t>
            </w:r>
          </w:p>
        </w:tc>
      </w:tr>
      <w:tr>
        <w:trPr>
          <w:trHeight w:val="176"/>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1A.</w:t>
            </w: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1B.</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1C.</w:t>
            </w:r>
          </w:p>
        </w:tc>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828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6"/>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6"/>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6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5"/>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660" w:type="dxa"/>
            <w:vAlign w:val="bottom"/>
            <w:tcBorders>
              <w:top w:val="single" w:sz="8" w:color="0000EE"/>
            </w:tcBorders>
            <w:gridSpan w:val="2"/>
          </w:tcPr>
          <w:p>
            <w:pPr>
              <w:spacing w:after="0"/>
              <w:rPr>
                <w:sz w:val="15"/>
                <w:szCs w:val="15"/>
                <w:color w:val="auto"/>
              </w:rPr>
            </w:pPr>
          </w:p>
        </w:tc>
        <w:tc>
          <w:tcPr>
            <w:tcW w:w="640" w:type="dxa"/>
            <w:vAlign w:val="bottom"/>
            <w:tcBorders>
              <w:top w:val="single" w:sz="8" w:color="CCEEFF"/>
            </w:tcBorders>
            <w:gridSpan w:val="4"/>
          </w:tcPr>
          <w:p>
            <w:pPr>
              <w:ind w:left="32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6"/>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86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7A.</w:t>
            </w: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5"/>
        </w:trPr>
        <w:tc>
          <w:tcPr>
            <w:tcW w:w="1300" w:type="dxa"/>
            <w:vAlign w:val="bottom"/>
            <w:tcBorders>
              <w:top w:val="single" w:sz="8" w:color="CCEEFF"/>
            </w:tcBorders>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43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94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6"/>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64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8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9A.</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9B.</w:t>
            </w: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98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9C.</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5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5"/>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300" w:type="dxa"/>
            <w:vAlign w:val="bottom"/>
            <w:gridSpan w:val="6"/>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6"/>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5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8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175"/>
        </w:trPr>
        <w:tc>
          <w:tcPr>
            <w:tcW w:w="1300" w:type="dxa"/>
            <w:vAlign w:val="bottom"/>
            <w:gridSpan w:val="6"/>
          </w:tcPr>
          <w:p>
            <w:pPr>
              <w:ind w:left="98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93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115</w:t>
            </w:r>
          </w:p>
        </w:tc>
      </w:tr>
      <w:tr>
        <w:trPr>
          <w:trHeight w:val="176"/>
        </w:trPr>
        <w:tc>
          <w:tcPr>
            <w:tcW w:w="720" w:type="dxa"/>
            <w:vAlign w:val="bottom"/>
            <w:tcBorders>
              <w:top w:val="single" w:sz="8" w:color="0000EE"/>
            </w:tcBorders>
            <w:gridSpan w:val="3"/>
          </w:tcPr>
          <w:p>
            <w:pPr>
              <w:spacing w:after="0"/>
              <w:rPr>
                <w:sz w:val="15"/>
                <w:szCs w:val="15"/>
                <w:color w:val="auto"/>
              </w:rPr>
            </w:pPr>
          </w:p>
        </w:tc>
        <w:tc>
          <w:tcPr>
            <w:tcW w:w="580" w:type="dxa"/>
            <w:vAlign w:val="bottom"/>
            <w:tcBorders>
              <w:top w:val="single" w:sz="8" w:color="CCEEFF"/>
            </w:tcBorders>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930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00" w:type="dxa"/>
            <w:vAlign w:val="bottom"/>
            <w:gridSpan w:val="6"/>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93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117</w:t>
            </w:r>
          </w:p>
        </w:tc>
      </w:tr>
      <w:tr>
        <w:trPr>
          <w:trHeight w:val="175"/>
        </w:trPr>
        <w:tc>
          <w:tcPr>
            <w:tcW w:w="130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118</w:t>
            </w:r>
          </w:p>
        </w:tc>
      </w:tr>
      <w:tr>
        <w:trPr>
          <w:trHeight w:val="453"/>
        </w:trPr>
        <w:tc>
          <w:tcPr>
            <w:tcW w:w="6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7"/>
          </w:tcPr>
          <w:p>
            <w:pPr>
              <w:jc w:val="center"/>
              <w:ind w:left="365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made pursuant to the safe harbor provisions of the Private Securities Litigation Reform Act of 1995 under Section 27A of the Securities Act of 1933, as amended, and Section 21E of the Securities Exchange Act of 1934, as amended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going public through our business combination with Larkspur Health Acquisition Corp., a special purpose acquisition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financial projections and business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grow and expand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disruption to our current plans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business or economic disruptions, including those caused by catastrophic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Nasdaq Capital Market, and the potential liquidity and trading of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our business, which may be affected by, among other things, the ability to grow and manage our research and development and clinical activity, and retain key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the ability to access sources of capital or raise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network, effectiveness of its technology, and quality of the offerings provided through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growth rate, strategies, and market opportunities for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agreements and other collaborative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any related restrictions and limitations of any approved products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research and development strategies and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our product candidates and be accepted by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assessment of, and strategies to compete with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 and the effectiveness of our compensation strategies and leadership;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and operate in the heavily regulated pharmaceutical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and guard against cybersecurity attacks;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processing payments, web and mobile operating systems, software, background checks, and insurance policies;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system of internal controls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 including the occurrence of any event, change or other circumstances, including the outcome of any legal proceedings that may be instituted against us that could impact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 intellectual property;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“Part I—Item 1A—Risk Factors”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“ZyVersa,” the “Company,” “we,” “us,” or “our” mean ZyVersa Therapeutics, Inc. and its subsidiaries unless we state otherwise, or the context otherwise indicates.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clinical stage biopharmaceutical company leveraging proprietary technologies to develop drugs for patients with chronic renal or inflammatory diseases with high unmet medical needs. Our mission is to develop drugs that optimize health outcomes and improve patients’ quality of life.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two proprietary globally licensed drug development platforms, each of which was discovered by research scientists at the University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Miller School of Medicine (the “University of Miami” or “University”). These development platforms are:</w:t>
      </w:r>
    </w:p>
    <w:p>
      <w:pPr>
        <w:spacing w:after="0" w:line="210" w:lineRule="exact"/>
        <w:rPr>
          <w:sz w:val="20"/>
          <w:szCs w:val="20"/>
          <w:color w:val="auto"/>
        </w:rPr>
      </w:pPr>
    </w:p>
    <w:p>
      <w:pPr>
        <w:jc w:val="both"/>
        <w:ind w:left="660" w:right="20" w:hanging="328"/>
        <w:spacing w:after="0" w:line="203"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“2HPβCD”) is an injectable drug in clinical development for treatment of renal diseases. VAR 200 was licensed from L&amp;F Research LLC on December 15, 2015. L&amp;F Research was founded by the University of Miami research scientists who discovered the use of VAR 200 for renal diseases.</w:t>
      </w:r>
    </w:p>
    <w:p>
      <w:pPr>
        <w:spacing w:after="0" w:line="200"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Inflammasome ASC Inhibitor IC 100 is a humanized monoclonal antibody in preclinical development for treatment of inflammatory conditions. IC 100 was licensed from InflamaCore, LLC on April 18, 2019. InflamaCore, LLC was founded by the University of Miami research scientists who invented IC 100.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each of our product candidates has the potential to treat numerous indications in their respective therapeutic areas. Our strategy is to focus on indication expansion to maximize commercial potential.</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renal pipeline is initially focused on rare, chronic glomerular diseases. Our lead indication for VAR 200 is focal segmental glomerulosclerosis (“FSGS”). On January 21, 2020, we filed an Investigational New Drug application (“IND”) for VAR 200, and the United States Food and Drug Administration (“FDA”) has allowed our development plans to proceed to a Phase 2a trial in patients with FSGS based on the risk/benefit profile of the active ingredient (2HPβCD). Prior to initiating a Phase 2a trial in patients with FSGS, we are planning to initiate a small open-label Phase 2a trial in patients with diabetic kidney disease in H1-2025, in which we expect to obtain patient proof-of-concept data more quickly than in an FSGS trial. This will enable assessment of drug effects as patients proceed through treatment and will provide insights for developing a lager Phase 2a/b protocol in patients with FSGS. VAR 200 has pharmacologic proof-of-concept data in animal models representative of FSGS, Alport Syndrome, and diabetic kidney disease providing opportunity for indication expansion.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Inflammasome ASC Inhibitor IC 100 focuses on chronic inflammatory diseases. Our lead indication for IC 100 is obesity with metabolic complications. IC 100’s preclinical development is nearing completion. Our focus is on advancing IC 100 toward a currently planned IND submission in H2-2025, followed by initiation of a Phase 1 trial in healthy overweight patients with a BMU between 27 – 30. IC 100 has preclinical data in animal models representing six different indications, each demonstrating that IC 100 attenuates pathogenic inflammasome signaling pathways leading to reduced inflammation and improved histopathological and/or functional outcomes. Those indications are stroke-related cardiovascular injury, retinopathy of prematurity (“ROP”), multiple sclerosis (“MS”), acute respiratory distress syndrome (“ARDS”), spinal cord injury, and traumatic brain injury (TBI). Likewise, preclinical studies are underway in Alzheimer’s and Parkinson’s diseases, and we are preparing to initiate IND-enabling preclinical studies in animal models of diet-induced obesity.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Chronic Kidney Disease (CKD)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Chronic kidney disease (“CKD”) is an increasing public health problem which affects over 75 million people worldwide, and approximately 37 million in the United States. The National Kidney Foundation estimates that approximately 80 million adults are at risk for kidney disease in the United States. With no disease modifying drug therapies commercially available, a sizeable percentage of kidney patients progress to end-stage renal disease (“ESRD”), requiring dialysis or transplant to survive. According to the Centers for Disease Control and Prevention, in 2018, approximately 131,600 people in the United States started treatment for ESRD, and nearly 786,000 people are currently living with ESRD in the United States (of those 786,000 people, approximately 71% are on dialysis, and 29% are living with a kidney transplant). Further, the economic burden associated with chronic kidney disease is substantial, with Medicare Fee-for-Service spending of $130 billion in 2018 according to the National Kidney Foundation. We believe the high incidence level and the steep monetary burden caused by CKD create a need for effective, disease modifying drug therapies.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CKD is associated with poor prognosis and in 2017, according to the National Vital Statistics Report, CKD was the ninth-leading cause of death in the United States. To address this significant health problem, on July 10, 2019, the White House and Department of Health and Human Services launched the Advancing American Kidney Health (“AAKH”) initiative to advance kidney disease prevention and care in the United States, which has three goals: (1) to reduce the number of patients developing renal failure through better diagnosis, treatment, and preventative care; (2) to maximize provision of home dialysis care; and (3) to expand the pool of kidneys available for transplant. We believe that by mediating removal of excess renal intracellular cholesterol that contributes to kidney damage and dysfunction, VAR 200 has the potential to help address the AAKH initiative’s first goal to reduce the number of patients developing renal failure.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lead renal indication is FSGS, which is a progressive form of kidney disease with no approved drug therapies. Approximately 40-60% of FSGS patients develop end stage kidney disease within 10-20 years, requiring dialysis and ultimately kidney transplant to survive. FSGS is an orphan disease affecting approximately 40,000 people in the United States. It is characterized by injury to the kidneys’ filtration system or “glomerular podocytes” leading to scarring that is focal (i.e., affecting only some glomerulus) and segmental (i.e., affecting only part of glomerulus). Accumulation of cholesterol and lipids in renal glomeruli, which has been associated with structural damage and impaired kidney function, has been seen in FSGS patient biopsies and in representative FSGS animal models. Damage to the glomeruli causes protein to leak into urine, a condition known as proteinuria. As the level of protein increases in the urine, patients develop a specific set of symptoms known as nephrotic syndrome. Proteinuria is strongly associated with kidney disease progression, and nephrotic syndrome is generally predictive of a poor prognosis. Approximately 70% of FSGS patients present with nephrotic syndrome at diagnosis. By mediating removal of excess cholesterol from renal glomeruli, we believe that VAR 200 has the potential to preserve renal structure and function and thereby reduce proteinuria that leads to FSGS progression.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Inflammatory Diseases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Chronic inflammatory diseases have been recognized as one of the most significant causes of death in the world today, with more than 50% of all deaths worldwide attributable to inflammation-related diseases such as ischemic heart disease, stroke, cancer, diabetes mellitus, chronic kidney disease, non-alcoholic fatty liver disease (“NAFLD”), and autoimmune and neurodegenerative conditions. Excessive and persistent activation of inflammasomes have been linked to the pathophysiology of these types of chronic diseases.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Inflammasomes are comprised of 3 proteins: (i) one of several types of sensor molecules, (ii) an apoptosis-associated speck-like protein containing a caspase recruitment domain (“ASC”), and (iii) proinflammatory caspase-1 (“pro-caspase-1”). There are multiple types of inflammasomes that trigger inflammation. They are named based on their associated sensor molecule, such as NLRP1, NLRP2, NLRP3, NLRC4, AIM2, and Pyrin. Numerous inflammatory diseases are often associated with activation of multiple types of inflammasomes. For example, obesity is associated with activation of AIM2 and NLRP3, insulin resistance is associated with AIM2, NLRP1, NLRP3, NLRC4, and NLRP6, and Parkinson’s disease is associated with activation of AIM2, NLRP1 and NLRP3. The ASC component of inflammasomes is a promising drug target since it is a component of the six most common types of inflammasomes referenced above. We believe this is more advantageous than targeting a specific sensor protein such as NLRP3, a component of only one type of inflammasome, which is the focus of several potential competitors. In addition to its pivotal role in inflammasome formation and activation required for initiation of an inflammatory response, ASC also plays a role in the perpetuation of inflammation associated with extracellular release of ASC specks. By targeting ASC, we believe IC 100 has potential to effectively control inflammation in a multitude of inflammatory diseases.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goal of our pipeline is to target renal and inflammatory indications with high unmet medical needs, which we believe can be addressed by our mechanisms of action. We intend to further enhance and expand our product portfolio through the development of multiple indications for VAR 200 and IC 100 each, and through potential in-licensing of promising renal and anti-inflammatory product candidates.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pipeline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154305</wp:posOffset>
            </wp:positionV>
            <wp:extent cx="4972050" cy="2211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Development Phase</w:t>
      </w:r>
      <w:r>
        <w:rPr>
          <w:rFonts w:ascii="Times New Roman" w:cs="Times New Roman" w:eastAsia="Times New Roman" w:hAnsi="Times New Roman"/>
          <w:sz w:val="18"/>
          <w:szCs w:val="18"/>
          <w:color w:val="auto"/>
        </w:rPr>
        <w:t>: Phase in which a drug formulation is developed that ensures the proper drug delivery parameters are met</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Preclinical Phase: </w:t>
      </w:r>
      <w:r>
        <w:rPr>
          <w:rFonts w:ascii="Times New Roman" w:cs="Times New Roman" w:eastAsia="Times New Roman" w:hAnsi="Times New Roman"/>
          <w:sz w:val="18"/>
          <w:szCs w:val="18"/>
          <w:color w:val="auto"/>
        </w:rPr>
        <w:t>Phase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(animal) studies are conducted to gather evidence to justify clinical trials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First testing in healthy humans, primarily to test safety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Testing in a small number of patients to assess safety, monitor how a drug is metabolized, and gather initial data on efficacy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Large trial in patients to test efficacy and safety that are used for regulatory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seek to be recognized as a leading biopharmaceutical company at the forefront of innovation for patients with high unmet medical needs. We are committed to restoring health and transforming the lives of patients through development of biopharmaceutical products. Our strategy is to:</w:t>
      </w:r>
    </w:p>
    <w:p>
      <w:pPr>
        <w:spacing w:after="0" w:line="161" w:lineRule="exact"/>
        <w:rPr>
          <w:sz w:val="20"/>
          <w:szCs w:val="20"/>
          <w:color w:val="auto"/>
        </w:rPr>
      </w:pPr>
    </w:p>
    <w:p>
      <w:pPr>
        <w:jc w:val="both"/>
        <w:ind w:left="660" w:hanging="328"/>
        <w:spacing w:after="0" w:line="214" w:lineRule="auto"/>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i w:val="1"/>
          <w:iCs w:val="1"/>
          <w:color w:val="auto"/>
        </w:rPr>
        <w:t>Advance development of Cholesterol Efflux Mediator</w:t>
      </w:r>
      <w:r>
        <w:rPr>
          <w:rFonts w:ascii="Times New Roman" w:cs="Times New Roman" w:eastAsia="Times New Roman" w:hAnsi="Times New Roman"/>
          <w:sz w:val="29"/>
          <w:szCs w:val="29"/>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VAR 200. </w:t>
      </w:r>
      <w:r>
        <w:rPr>
          <w:rFonts w:ascii="Times New Roman" w:cs="Times New Roman" w:eastAsia="Times New Roman" w:hAnsi="Times New Roman"/>
          <w:sz w:val="18"/>
          <w:szCs w:val="18"/>
          <w:color w:val="auto"/>
        </w:rPr>
        <w:t>We intend to advance development of VAR 200 by initiating a small Phase 2a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trial in patients with diabetic kidney disease in H1-2025, in which we expect to obtain patient proof-of-concept data more quickly than in an FSGS trial. This will enable assessment of drug effects as patients proceed through treatment and will provide insights for developing a larger Phase 2a/b protocol in patients with FSGS.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development of Inflammasome ASC Inhibitor IC 100. </w:t>
      </w:r>
      <w:r>
        <w:rPr>
          <w:rFonts w:ascii="Times New Roman" w:cs="Times New Roman" w:eastAsia="Times New Roman" w:hAnsi="Times New Roman"/>
          <w:sz w:val="18"/>
          <w:szCs w:val="18"/>
          <w:color w:val="auto"/>
        </w:rPr>
        <w:t>We intend to advance our IC 100 preclinical program toward a planned 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submission in H2-2025 followed by initiation of a Phase 1 trial in healthy patients with a BMI between 27 – 30. This approach has potential to provide an early signal of IC 100’s weight loss potential. In preparation for IND submission, we are preparing to initiate two IND-enabling preclinical studies in diet-induced obesity animal models, one to compare the effects of IC 100 with semaglutide, and the other to evaluate the effects of IC 100 in combination with semaglutide.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indication expansion strategy to maximize the commercial potential for each of our product platforms by developing multiple indications in their respective therapeutic areas. </w:t>
      </w:r>
      <w:r>
        <w:rPr>
          <w:rFonts w:ascii="Times New Roman" w:cs="Times New Roman" w:eastAsia="Times New Roman" w:hAnsi="Times New Roman"/>
          <w:sz w:val="18"/>
          <w:szCs w:val="18"/>
          <w:color w:val="auto"/>
        </w:rPr>
        <w:t>Our current pipeline includes three potential indications for our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 200 Platform, FSGS (lead indication), Alport Syndrome, and diabetic kidney disease and four potential indications for our Inflammasome ASC inhibitor IC 100 platform, obesity with certain metabolic complications (lead indication), Parkinson’s and Alzheimer’s diseases, and multiple sclerosis. We intend to leverage our knowledge from preclinical and clinical programs from both product platforms to identify other opportunities for indication expansion.</w:t>
      </w:r>
    </w:p>
    <w:p>
      <w:pPr>
        <w:spacing w:after="0" w:line="19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rights to develop and commercialize our product candidates. </w:t>
      </w:r>
      <w:r>
        <w:rPr>
          <w:rFonts w:ascii="Times New Roman" w:cs="Times New Roman" w:eastAsia="Times New Roman" w:hAnsi="Times New Roman"/>
          <w:sz w:val="18"/>
          <w:szCs w:val="18"/>
          <w:color w:val="auto"/>
        </w:rPr>
        <w:t>We intend to maintain the rights to develop and commercialize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in the United States, while pursuing strategic alliances and collaborations with other pharmaceutical companies to accelerate development, share risk, supplement our resources and maximize potential outside the United States.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product candidate portfolio. </w:t>
      </w:r>
      <w:r>
        <w:rPr>
          <w:rFonts w:ascii="Times New Roman" w:cs="Times New Roman" w:eastAsia="Times New Roman" w:hAnsi="Times New Roman"/>
          <w:sz w:val="18"/>
          <w:szCs w:val="18"/>
          <w:color w:val="auto"/>
        </w:rPr>
        <w:t>We plan to expand our product portfolio by leveraging our expertise in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to identify and in-license additional drug candidates with significant clinical and commercial potential. In addition to indication expansion for our VAR 200 and IC 100 platforms, our business strategy includes identifying and opportunistically acquiring development and commercialization rights to technologies relating to the treatment of kidney and inflammatory diseases.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Continue to strengthen and expand our intellectual property portfolio. </w:t>
      </w:r>
      <w:r>
        <w:rPr>
          <w:rFonts w:ascii="Times New Roman" w:cs="Times New Roman" w:eastAsia="Times New Roman" w:hAnsi="Times New Roman"/>
          <w:sz w:val="18"/>
          <w:szCs w:val="18"/>
          <w:color w:val="auto"/>
        </w:rPr>
        <w:t>The intellectual property for VAR 200 is comprised of a portfolio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pending patents in the United States and other countries. We have 2 patent families covering glomerular disorders and disease, and diabetic kidney disease. Likewise, we plan to seek orphan drug designation for FSGS and Alport Syndrome, which would provide 7 years exclusivity in United States and 10 years in European Union, if approved in each of those jurisdictions. Intellectual Property for IC 100 is comprised of a portfolio of issued and pending patents in the United States and other countries. We have 5 patent families covering composition of matter, biomarkers, and methods of use. Additionally, we plan to seek orphan exclusivity for any rare disease indications we develop for IC 100. For both product platforms, our proprietary position is reinforced by additional technical know-how and trade secrets. We plan to actively seek to obtain, where appropriate, the broadest intellectual property protection possible for our product candidates by filing for patents or other applicable intellectual property protection covering new or enhanced proprietary technology, and new formulations, dosing regimens, and administration routes in development.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dates and events reflected in the foregoing are estimates only, and there can be no assurances that the events included will be completed on the anticipated timeline presented, or at all. Further, there can be no assurances that we will be successful in the development of any of our product candidates, or any other products or product candidates we may develop in the future, or that any product candidate we may develop in the future, will receive FDA approval for any indication.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Cholesterol Efflux Mediator </w:t>
      </w:r>
      <w:r>
        <w:rPr>
          <w:rFonts w:ascii="Times New Roman" w:cs="Times New Roman" w:eastAsia="Times New Roman" w:hAnsi="Times New Roman"/>
          <w:sz w:val="29"/>
          <w:szCs w:val="29"/>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VAR 200 (2-hydroxypropyl-beta-cyclodextrin, 2HP</w:t>
      </w:r>
      <w:r>
        <w:rPr>
          <w:rFonts w:ascii="Times New Roman" w:cs="Times New Roman" w:eastAsia="Times New Roman" w:hAnsi="Times New Roman"/>
          <w:sz w:val="18"/>
          <w:szCs w:val="18"/>
          <w:color w:val="auto"/>
        </w:rPr>
        <w:t>β</w:t>
      </w:r>
      <w:r>
        <w:rPr>
          <w:rFonts w:ascii="Times New Roman" w:cs="Times New Roman" w:eastAsia="Times New Roman" w:hAnsi="Times New Roman"/>
          <w:sz w:val="18"/>
          <w:szCs w:val="18"/>
          <w:b w:val="1"/>
          <w:bCs w:val="1"/>
          <w:i w:val="1"/>
          <w:iCs w:val="1"/>
          <w:color w:val="auto"/>
        </w:rPr>
        <w:t>CD)</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Cholesterol Efflux Mediator VAR 200 is an injectable drug in clinical development for treatment of chronic glomerular diseases, initially focusing on FSGS as the lead. Prior to initiating a Phase 2a trial in patients with FSGS, we are planning to conduct a small Phase 2a trial in patients with diabetic kidney disease, which we expect will provide patient proof-of-concept more quickly than an FSGS study. Alport Syndrome and diabetic kidney disease indications may be pursued based on our indication expansion strategy.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VAR 200 was developed to mediate removal of excess cholesterol that damages renal glomeruli, with the intent to preserve renal structure and function and reduce proteinuria that leads to glomerular disease progression. Although our lead renal indication is FSGS (VAR 200-01), we are planning to initiate a small Phase 2a trial in patients with diabetic kidney disease in H1-2025, in which we expect to obtain patient proof-of-concept data more quickly than in an FSGS trial. This will enable assessment of drug effects as patients proceed through treatment and will provide insights for developing a larger Phase 2a/b protocol in patients with FSGS. Based on the anticipated data and key learnings from these trials, we may progress development of VAR 200 for Alport Syndrome (VAR 200-02) and for diabetic kidney disease (VAR 200-03) based on our indication expansion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Cholesterol and Lipid Accumulation in Glomerular Diseases (Including FSGS, Alport Syndrome, and Diabetic Kidney Disease)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chronic glomerular diseases, cholesterol accumulates in glomerular podocytes, due in part to impaired transport out of the cell, or “efflux,” resulting from reduced expression of the cholesterol transporters ABCA1 and ABCG1. Glomerular lipid accumulation has been demonstrated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podocyte studies, human biopsy data, and in animal models of various kidney diseases, including FSGS, Alport syndrome, and diabetic kidney disease. As shown below, the lipid accumulation causes distorted podocyte structure, damaged podocyte foot processes, and podocyte detachment and loss, which impairs kidney filtration resulting in proteinuria and disease progression. Preclinical animal models with VAR 200 show that reduction in podocyte cholesterol and lipids protects against ongoing kidney damage and progression of disease, which we hypothesize will translate to patients with kidney disease and potentially reduce or delay the need for dialysis and ultimately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131445</wp:posOffset>
            </wp:positionV>
            <wp:extent cx="4440555" cy="2751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4055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 200 Mechanism of 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 200’s active ingredient, 2HβCD, is comprised of seven sugar molecules bound together in a 3-D ring with a hydrophobic core and hydrophilic exterior. VAR 200 mediates cholesterol efflux both passively and actively by interacting with hydrophilic components of the glomerular membrane.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Cholesterol Efflux</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Passive cholesterol efflux occurs with formation of 2HPβCD dimers, which bind to the cell membrane surface and incorporate cholesterol into its hydrophobic core as an inclusion complex. Release of the 2HPβCD/cholesterol inclusion complex from the cell membrane surface brings the cholesterol into solution for transfer to cholesterol acceptors, such as high-density lipoprotein (“HDL”).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1553845</wp:posOffset>
            </wp:positionH>
            <wp:positionV relativeFrom="page">
              <wp:posOffset>448945</wp:posOffset>
            </wp:positionV>
            <wp:extent cx="4440555" cy="1808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44055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Active Cholesterol Efflux</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Active cholesterol efflux occurs through mediating metabolism of free cholesterol into oxysterols. Oxysterols activate the liver X receptor (“LXR”)-transcription factors, resulting in induction of cellular cholesterol efflux pathways, including upregulation cholesterol efflux transporters, ABCA1 and ABCG1, which transport free cholesterol outside the cell to cholesterol acceptors, such as HDL.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Support for VAR 200</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VAR 200 has an established benefit/risk profile supported by IND-enabling preclinical studies demonstrating safety and proof of concept, which led to FDA clearance to progress into Phase 2 clinical trials. Data from animal models representing FSGS, Alport Syndrome, and diabetic kidney disease demonstrate that VAR 200 promotes cholesterol removal from podocytes, protecting the kidney’s filtration system from damage and reducing protein spillage into the urine or “proteinuria.” These types of outcomes are thought to be key to delaying or preventing progression of kidney disease.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 200 and FSGS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VAR 200 was evaluated in two FSGS mouse models, an experimental nuclear factor of activated T-cells (“NFAT”) FSGS model and an Adriamycin (“ADR”)-induced FSGS model which is characterized by a milder, less progressive form of nephropathy than the NFAT model.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Nuclear Factor of Activated T-Cells (NFAT) Model</w:t>
      </w:r>
    </w:p>
    <w:p>
      <w:pPr>
        <w:spacing w:after="0" w:line="22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To determine the role of altered podocyte cholesterol homeostasis in NFAT-mediated podocyte injury and the effects of treatment with VAR 200, researchers administered VAR 200 subcutaneously at 4,000 mg/kg to 6-week-old NFATc1</w:t>
      </w:r>
      <w:r>
        <w:rPr>
          <w:rFonts w:ascii="Times New Roman" w:cs="Times New Roman" w:eastAsia="Times New Roman" w:hAnsi="Times New Roman"/>
          <w:sz w:val="29"/>
          <w:szCs w:val="29"/>
          <w:color w:val="auto"/>
          <w:vertAlign w:val="superscript"/>
        </w:rPr>
        <w:t>nuc</w:t>
      </w:r>
      <w:r>
        <w:rPr>
          <w:rFonts w:ascii="Times New Roman" w:cs="Times New Roman" w:eastAsia="Times New Roman" w:hAnsi="Times New Roman"/>
          <w:sz w:val="18"/>
          <w:szCs w:val="18"/>
          <w:color w:val="auto"/>
        </w:rPr>
        <w:t xml:space="preserve"> mice 24 hours prior to induction with doxycycline, and then every other day for 4 days. Single transgenic (“ST”) mice served as a control.</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 200 (indicated by “CD” in the graphs below) significantly reduced cholesterol in the renal cortex of FSGS mice compared to untreated double transgenic mice (indicated by “DT” in the graphs below). This was associated with a significant reduction in proteinuria (albumin/creatine ratio) as shown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1708150</wp:posOffset>
            </wp:positionH>
            <wp:positionV relativeFrom="page">
              <wp:posOffset>448945</wp:posOffset>
            </wp:positionV>
            <wp:extent cx="4131945" cy="1517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13194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Adriamycin (ADR)-induced Model</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second FSGS model, researchers injected 5-week-old BALB/c mice with one dose of Adriamycin at 11 mg/kg. Subsequently, VAR 200 was administered 24 hours later at 40 mg/kg via subcutaneous osmotic pump for 10 weeks. Non-induced mice served as a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 200 (indicated by “CD” in the graphs below) significantly reduced mesangial expansion, which is commonly associated with lipid deposition, compared to untreated ADR-induced mice as shown below. This was associated with a significant reduction in proteinuria (albumin/creatine) and blood urea nitrogen (“BUN”) in VAR 200-treated) ADR-induced mice compared to untreated ADR-induced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123190</wp:posOffset>
            </wp:positionV>
            <wp:extent cx="4277360" cy="2288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7736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 200 and Alport Syndrome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evaluate whether VAR 200 has a protective effect in Alport Syndrome, a genetic disease, researchers injected four-week-old female Col4a3 knockout (Col4a3−/−) mice with VAR 200 at 4000 mg/kg subcutaneously 3 times per week for 4 weeks. Wild type Col4a3 (“Col43+/+”) mice served as controls.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VAR 200 (indicated by “CD” in the graphs below) significantly reduced renal neutral lipid, cholesterol ester, and cholesterol crystal accumulation in Alport Syndrome mice when compared to untreated Alport Syndrome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114300</wp:posOffset>
            </wp:positionV>
            <wp:extent cx="4440555" cy="2348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4055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decreased intracellular lipids in VAR 200-treated Alport Syndrome mice were associated with a significant reduction in renal damage (reduced mesangial expansion, fibrosis, and foot process effacement), and renal function was maintained when compared to untreated Alport Syndrome mice, as evidenced by reduced proteinuria (albumin/creatinine), blood urea nitrogen, and serum creatinine when compared to untreated Alport Syndrome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125730</wp:posOffset>
            </wp:positionV>
            <wp:extent cx="4440555" cy="2417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405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1553845</wp:posOffset>
            </wp:positionH>
            <wp:positionV relativeFrom="page">
              <wp:posOffset>448945</wp:posOffset>
            </wp:positionV>
            <wp:extent cx="4440555" cy="6995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40555" cy="699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VAR 200 and Diabetic Kidney Disease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determine if VAR 200 can sequester intracellular cholesterol and protect podocytes from cholesterol-dependent damage in diabetic kidney disease, researchers treated 4-week old BTBR ob/ob homozygous mice, a diabetic model of progressive kidney disease, with 3 weekly subcutaneous injections of VAR 200 at 4,000 mg/kg for 5 months. Heterozygous mice served as controls.</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VAR 200 (indicated by “CD” in the graphs below) significantly reduced total cholesterol in the kidney cortex compared with untreated diabetic mice. This was associated with a significant reduction in renal damage (mesangial expansion) and reduced proteinuria (albumin/creatinine) compared to untreated diabetic mice starting at 2 months following treatment, with statistically significant reduced levels from 3 months to end of study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440555" cy="3625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4055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results in animal models of 3 different renal diseases summarized above, we believe that VAR 200 has potential to induce and maintain partial or complete remission of proteinuria in renal patients with nephrotic syndrome, thereby reducing the rate of renal disease progression.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Inflammasome ASC Inhibitor IC 100</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IC 100 is a humanized monoclonal antibody inflammasome ASC inhibitor in preclinical development for the treatment of numerous inflammatory diseases, with obesity with certain metabolic complications as the lead. IC 100 was developed with the intent of attenuating chronic aberrant inflammation that is pathogenic in a multitude of inflammatory diseases by blocking initiation and perpetuation of inflammation to stop disease progression and improve quality of life.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Our focus is on advancing IC 100 toward a planned submission of an IND application in H2-2025, following which we intend to initiate a Phase 1 trial in healthy subjects who are overweight (BMI 27 -30). Non-GLP toxicology data with IC 100 in mice and non-human primates (“NHP”) demonstrate no adverse effects nor anti-drug antibodies at doses as high as 300 mg/kg. IC 100 has preclinical data in animal models representing six different indications, each demonstrating that IC 100 attenuates pathogenic inflammasome signaling pathways leading to reduced inflammation and improved histopathological and/or functional outcomes. Those indications are stroke-related cardiovascular injury, retinopathy of prematurity (“ROP”), multiple sclerosis (“MS”), acute respiratory distress syndrome (“ARDS”), spinal cord injury, and traumatic brain injury (TBI). Likewise, preclinical studies are underway in Alzheimer’s and Parkinson’s diseases, and we are preparing to initiate two IND-enabling preclinical studies with IC 100 in DIO obesity models. One study will compare the effects of IC 100 to semaglutide, and the other will compare the effects of IC 100 administered concurrently with semaglutide.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Inflammasomes in Inflammatory Diseases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Excessive and persistent activation of inflammasomes have been linked to the pathophysiology of inflammatory diseases. Inflammasomes are multiprotein complexes that initiate an immune response to pathogens or internal danger signals. They are comprised of three basic proteins: (i) one of several types of sensor molecules (e.g., NLRP1, NLRP2, NLRP3, NLRC4, AIM2, and Pyrin), (ii) adaptor protein, ASC, and (iii) pro-caspase 1. Each sensor molecule responds to different pathogens or internal danger signals. Inflammasomes are named by their sensor molecule (e.g., NLRP3 inflammasome).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depicted below, in the presence of harmful pathogens or cell damage, an intracellular sensor molecule (e.g., NLRP3) is triggered, stimulating recruitment of adaptor ASC, which in turn recruits pro-caspase-1 to form an inflammasome. The inflammasome is the organizing center that recruits additional ASC and polymerizes in a prion-like structure to form a large filamentous signaling platform, known as an ASC Speck. ASC Specks provide a scaffold for pro-caspase-1 recruitment, which triggers conversion of pro-caspase-1 to active caspase-1, which in turn converts the cytokine pro-IL-1ß to its active form IL-1ß, initiating the inflammatory response. Activated caspase-1 also drives cleavage of Gasdermin D, which triggers pyroptosis, a form of programmed cell death, releasing active cytokines and ASC Specks into the extracellular space, with continued activation of pro-IL-1ß, heightening and perpetuating the inflammatory response in neighboring cells and tissues. Although inflammasome triggering of the innate immune response is essential for protection against pathogens, persistent overactivation of inflammasomes can lead to chronic inflammation underlying a multitude of inflammatory conditions and diseases. Numerous inflammatory diseases are associated with activation of multiple types of inflammasomes. For example, obesity is triggered by AIM2 and NLRP3 and Parkinson’s disease is triggered by NLRP1, NLRP3, and AIM2.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134620</wp:posOffset>
            </wp:positionV>
            <wp:extent cx="3951605" cy="1757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5160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1802765</wp:posOffset>
            </wp:positionH>
            <wp:positionV relativeFrom="page">
              <wp:posOffset>448945</wp:posOffset>
            </wp:positionV>
            <wp:extent cx="3951605" cy="1817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95160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Inflammasome ASC Inhibitor IC 100 Mechanism of Action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IC 100 was designed to bind to key amino acids in adaptor protein ASC that govern ASC recruitment into the inflammasome complex and ASC Speck formation:</w:t>
      </w:r>
    </w:p>
    <w:p>
      <w:pPr>
        <w:spacing w:after="0" w:line="162" w:lineRule="exact"/>
        <w:rPr>
          <w:sz w:val="20"/>
          <w:szCs w:val="20"/>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inhibiting ASC recruitment into the inflammasome complex, inflammasome formation is inhibited thereby blocking initiation of the inflammatory cascade;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disrupting ASC Speck formation, both intracellularly and extracellularly, damaging perpetuation of inflammation is blocked.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154305</wp:posOffset>
            </wp:positionV>
            <wp:extent cx="3960495" cy="3557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60495" cy="355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Inflammasome Activation in One Condition Can Impact Another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recent paper published in Translational Research demonstrates that inflammasome activity and signaling proteins triggered by one unique inflammatory condition can impact and potentially interact with another. The authors provided extensive evidence that traumatic brain injury (TBI) and Alzheimer’s disease (AD) are linked by activation of multiple types of inflammasomes (NLRP3, NLRP1, and AIM2). In each condition, inflammasome activation leads to cell death and release of active cytokines and ASC specks to neighboring cells allowing for one condition to potentially exacerbate the other. For example, individuals with a history of moderate TBI have a 2.3 times greater risk of developing AD. Likewise, AD pathology is potentially exacerbated by inflammasome activation in patients with TBI through IL-18 and pathological ASC speck interactions with amyloid beta and phosphorylated tau, hallmarks of AD. The authors reported that inflammasome ASC represents a promising therapeutic target for TBI and AD because of ASC’s unique role in heightening and perpetuating inflammation in neighboring cells, and its pathological interactions with amyloid beta and phosphorylated tau. In a subsequent study, also published in Translational Research by several of the same authors, researchers evaluated if blocking inflammasome activity by inhibiting ASC with IC 100 reduces the elevated inflammatory response in AD mice after TBI. Data demonstrated that 100 resulted in reduction of inflammasome-mediated cytokine IL-1β in the injured cortex of AD mice at 1-week post-injury.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Support for IC 100</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Non-GLP toxicology studies in mice and non-human primates demonstrate that IC 100 has a good safety profile. There were no drug-related adverse events at doses up to 300 mg/kg in either species. Likewise, epigenetic screening demonstrates a lower immunogenicity potential than many biologics. Based on our preclinical study in an animal model representing MS, inflammation was attenuated without immunosuppression. IC 100 has preclinical data in animal models representing six different indications, each demonstrating that IC 100 attenuates pathogenic inflammasome signaling pathways leading to reduced inflammation and improved histopathological and/or functional outcomes. Those indications are stroke-related cardiovascular injury, retinopathy of prematurity (“ROP”), multiple sclerosis (“MS”), acute respiratory distress syndrome (“ARDS”), spinal cord injury, and traumatic brain injury (TBI). Following is a summary of preclinical data in stroke-related cardiovascular injury, ROP, and MS. For an overview of preclinical data collected to date, refer to the IC 100 White Paper at </w:t>
      </w:r>
      <w:r>
        <w:rPr>
          <w:rFonts w:ascii="Times New Roman" w:cs="Times New Roman" w:eastAsia="Times New Roman" w:hAnsi="Times New Roman"/>
          <w:sz w:val="18"/>
          <w:szCs w:val="18"/>
          <w:u w:val="single" w:color="auto"/>
          <w:color w:val="auto"/>
        </w:rPr>
        <w:t>https://investors.zyversa.com/static-files/64964310-ab95-4a06-bc47-dd44c63dc5c7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 100 and Stroke-related Cardiovascular Injury</w:t>
      </w:r>
    </w:p>
    <w:p>
      <w:pPr>
        <w:spacing w:after="0" w:line="229" w:lineRule="exact"/>
        <w:rPr>
          <w:sz w:val="20"/>
          <w:szCs w:val="20"/>
          <w:color w:val="auto"/>
        </w:rPr>
      </w:pPr>
    </w:p>
    <w:p>
      <w:pPr>
        <w:jc w:val="both"/>
        <w:ind w:right="20" w:firstLine="583"/>
        <w:spacing w:after="0" w:line="258" w:lineRule="auto"/>
        <w:rPr>
          <w:sz w:val="20"/>
          <w:szCs w:val="20"/>
          <w:color w:val="auto"/>
        </w:rPr>
      </w:pPr>
      <w:r>
        <w:rPr>
          <w:rFonts w:ascii="Times New Roman" w:cs="Times New Roman" w:eastAsia="Times New Roman" w:hAnsi="Times New Roman"/>
          <w:sz w:val="18"/>
          <w:szCs w:val="18"/>
          <w:color w:val="auto"/>
        </w:rPr>
        <w:t>Cardiac dysfunction occurs in 70% of patients following a stroke which is associated with a surge of catecholamines and inflammasome-induced systemic and cardiac inflammation. To determine if IC 100 can attenuate post-stroke cardiac inflammation, IC 100 was administered IV at 30 mg/kg in a mouse model of photothrombotic stroke (PTS) thirty minutes post-PTS. Additionally, catecholamine-treated zebrafish hearts were used to determine if IC 100 can protect against post-stroke cardiac dysfunction. Action potential duration was evaluated in excised zebrafish hearts with and without IC 100 (10 μg/ml) 20 seconds after catecholamine treatment.</w:t>
      </w:r>
    </w:p>
    <w:p>
      <w:pPr>
        <w:spacing w:after="0" w:line="183"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IC 100 attenuated cardiac inflammation post-stroke based on significant reductions in IL-1β, and it improved cardiac function as evidenced by attenuation of the shortened action potential duration depicted in the images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IL-1β Levels in Mouse Atria and Ventricles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154305</wp:posOffset>
            </wp:positionV>
            <wp:extent cx="2880360" cy="1036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036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Ventricular Action Potential Traces from Excised Zebra Fish Hearts Exposed to Epinephrine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449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data suggest that IC 100 has potential to attenuate stroke-related cardiovascular disease.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 100 and ROP</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To determine if IC 100 has potential to attenuate retinal microglial activation and inflammation leading to retinopathy and impaired vision, IC 100 was administered immediately after 5 days of 75% O2 exposure by multiple IP injections of 10 or 20 µg/g or by single IVT injection of 2.5 µg/0.5 µL per eye in an oxygen-induced mouse model of retinopathy (OIR models).</w:t>
      </w:r>
    </w:p>
    <w:p>
      <w:pPr>
        <w:spacing w:after="0" w:line="176"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IC 100 attenuated retinal inflammation as evidenced by a 55% reduction in retinal ASC speck formation, and it reduced microglial density and activation compared to the placebo-treated oxygen-exposed retina (02-PBS), as depicted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Retinal ASC Speck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51755" cy="13373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5175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Retinal Microglial Density and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200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9" w:name="page20"/>
    <w:bookmarkEnd w:id="19"/>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IC 100 alleviated vaso-obliteration. Compared to the placebo-treated oxygen-exposed retina (0</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-PBS), IC 100 reduced the percentage of avascular areas, the number of vascular tufts, and the percentage of intravitreal neovascularization, as depicted below.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Quantification of Avascular Areas, Vascular Tufts, and Neovascular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154305</wp:posOffset>
            </wp:positionV>
            <wp:extent cx="4251960" cy="132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196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IC 100 restored retinal structure. With IC 100 the thickness of the inner nuclear layer (INL), outer nuclear layer (ONL), and total retinal layer was comparable to the placebo control (RA-PBS). IC 100 also restored retinal function. With IC 100 there was a 70% increase in amplitude compared to the placebo-treated oxygen-exposed retina (02-PBS). Results are depicted below.</w:t>
      </w:r>
    </w:p>
    <w:p>
      <w:pPr>
        <w:spacing w:after="0" w:line="176" w:lineRule="exact"/>
        <w:rPr>
          <w:sz w:val="20"/>
          <w:szCs w:val="20"/>
          <w:color w:val="auto"/>
        </w:rPr>
      </w:pPr>
    </w:p>
    <w:p>
      <w:pPr>
        <w:ind w:left="1940"/>
        <w:spacing w:after="0"/>
        <w:tabs>
          <w:tab w:leader="none" w:pos="8020" w:val="left"/>
        </w:tabs>
        <w:rPr>
          <w:sz w:val="20"/>
          <w:szCs w:val="20"/>
          <w:color w:val="auto"/>
        </w:rPr>
      </w:pPr>
      <w:r>
        <w:rPr>
          <w:rFonts w:ascii="Times New Roman" w:cs="Times New Roman" w:eastAsia="Times New Roman" w:hAnsi="Times New Roman"/>
          <w:sz w:val="18"/>
          <w:szCs w:val="18"/>
          <w:color w:val="auto"/>
        </w:rPr>
        <w:t>Retinal Layer Thickness</w:t>
      </w:r>
      <w:r>
        <w:rPr>
          <w:sz w:val="20"/>
          <w:szCs w:val="20"/>
          <w:color w:val="auto"/>
        </w:rPr>
        <w:tab/>
      </w:r>
      <w:r>
        <w:rPr>
          <w:rFonts w:ascii="Times New Roman" w:cs="Times New Roman" w:eastAsia="Times New Roman" w:hAnsi="Times New Roman"/>
          <w:sz w:val="18"/>
          <w:szCs w:val="18"/>
          <w:color w:val="auto"/>
        </w:rPr>
        <w:t>Amplitude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154305</wp:posOffset>
            </wp:positionV>
            <wp:extent cx="5991860" cy="1894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9186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These data demonstrate that inhibition of ASC speck formation by IC 100 in an animal model of retinopathy of prematurity reduced retinal inflammation and its resulting structural damage and dysfunction.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 100 and 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determine if IC 100 protects against MS progression, researchers induced active experimental autoimmune encephalomyelitis (“EAE”) in C57BL/6 mice through immunization with myelin oligodendrocyte glycoprotein peptide 35 – 55 (“MOG35 – 55”). IC 100 was administered via intraperitoneal (“IP”) injection at 10, 30, or 45 mg/kg on day 8 before appearance of clinical symptoms, followed by treatment every 4 days for 32 days. Vehicle served as a control.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0" w:name="page21"/>
    <w:bookmarkEnd w:id="2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IC 100 penetrated the spinal cord and decreased the number of spinal cords activated microglial CD4+, CD8+, and myeloid cells. This was associated with delayed onset and significantly improved functionality based on MS clinical scores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114300</wp:posOffset>
            </wp:positionV>
            <wp:extent cx="5743575" cy="4629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3575"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as a Biomarker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Biomarkers are valuable tools to predict, diagnose, and monitor disease progression. They can also be used to target patients who are likely to respond to specific treatments, and to monitor ongoing efficacy of those treatments over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Researchers at the University of Miami evaluated serum inflammasome proteins as potential biomarkers for inflammatory disorders and identified ASC as a potential candidate. Serum ASC levels were elevated in patients with various inflammatory disorders when compared to healthy people. Additionally, when compared to caspase-1 as a biomarker in patients with multiple sclerosis, ASC had a similar sensitivity to caspase-1, but a significantly higher specificity than caspase-1.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2051050</wp:posOffset>
            </wp:positionH>
            <wp:positionV relativeFrom="page">
              <wp:posOffset>448945</wp:posOffset>
            </wp:positionV>
            <wp:extent cx="3454400" cy="1165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4544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ASC levels have been demonstrated to correlate with disease outcomes and disease severity, for example:</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brain injured patients, levels of ASC proteins within the first 5 days after injury were predictive of outcomes 5 months after trauma.</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MS segmented into those with mild or moderate disease severity, serum ASC levels were higher in patients with moderate versus mild disease.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Commercial Opportunity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each of our product candidates has potential for treatment of numerous diseases with significant unmet medical needs. VAR 200 has potential to treat Alport syndrome, diabetic nephropathy, and other glomerular diseases in addition to its lead indication, focal segmental glomerulosclerosis (FSGS). IC 100 has potential to treat multiple and diverse inflammatory diseases, including, but not limited to Parkinson’s and Alzheimer’s diseases, and multiple sclerosis in addition to its lead indication, obesity with certain metabolic complications.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Cholesterol Efflux Mediator</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VAR 200 Opportunity</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a report from Precedence Research, the global renal drug market was $17.71 billion in 2024 and projected to reach $30.3 billion by 2034. There are two key drivers of this growth. The first is the significant increase in obesity and diabetes which leads to renal disease. The second is a resurgence in development of innovative new drug therapies resulting from the increasing economic and societal burdens of chronic kidney disease, as well as advances in technology, such as creation of a kidney-on-a chip, which accurately mimics human kidney filtration, and availability of genomic and multiomic data. Both of these technologies have facilitated a better understanding of the molecular mechanisms underlying kidney disease. A more recent growth driver for the renal drug market is an expected regulatory change that that will shorten the regulatory path for drugs in development for FSGS based on recommendations from the Parasol project. The Parasol project, co-chaired by Dr. Aliza Thompson, Director of the Cardio-Renal Division at the FDA, was prompted by the urgent need to develop safe and effective therapies for people with FSGS since there are no approved drug therapies. The goal of Parasol was to define a traditional or reasonably likely surrogate endpoint for use in FSGS clinical trials to enable accelerated approval of novel therapies and expedite access to effective treatments for this rare but devastating glomerular disorder. PARASOL was a partnership among NephCure, the National Kidney Foundation, the International Society of Glomerular Disease, and the Kidney Health Initiative, who brought together all the relevant parties - patients, clinical nephrologists, industry sponsors, basic scientists, biostatisticians, and regulatory authorities. PARASOL’s analysis of 1600 FSGS patients found that a reduction in proteinuria over 24 months was strongly associated with a reduced risk of kidney failure. Based on the data, Parasol recommended proteinuria as a surrogate endpoint for full regulatory approval of FSGS drugs. It is believed that the FDA will adopt this recommendation based on Dr. Thompson’s statement that data supporting the recommendation came from over 25 studies conducted all over the globe and involved more than 1,600 patients, providing a robust foundation for informed regulatory decisions.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market for VAR 200’s current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154305</wp:posOffset>
            </wp:positionV>
            <wp:extent cx="6858000" cy="2065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IC 100 Opportunity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Anti-Inflammatory Biologics Market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a report from Precedence Research, the global anti-inflammatory biologics market was valued at $104.81 billion in 2024, and it is projected to reach $185.51 billion by 2034. This growth is driven by the rising incidence of chronic inflammatory diseases associated with population aging, lifestyle changes, and environmental factors. The growth trajectory is expected to accelerate over time with R&amp;D focus on use of anti-inflammatory biologics, such as inflammasome inhibitors, as add-on to GLP-1 drugs to treat the inflammatory comorbidities of obesity. According to Morgan Stanley, global sales of GLP-1 drugs were $6 billion in 2023. With the surging demand seen in 2024, they project global sales to reach between $105 to $144 billion by 2030. Key drivers are the unsurpassed weight loss achieved and the broadening evidence that these drugs have potential to improve outcomes in numerous obesity-related comorbidities. Following is a summary of the market for IC 100’s current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131445</wp:posOffset>
            </wp:positionV>
            <wp:extent cx="6858000" cy="2280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 Candidates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seek to identify and acquire commercialization rights to other technologies relating to renal and inflammatory diseases.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specifically provided herein, all share and per share information (including information relating to warrants) reflect the 1-for-35 reverse stock split and the 1-for-10 reverse stock split that we effected on December 4, 2023, and April 25,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L&amp;F Research LLC License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a License Agreement with L&amp;F Research LLC (“L&amp;F Research”) effective December 15, 2015, as amended (the “L&amp;F License Agreement”), pursuant to which L&amp;F Research granted us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FSGS. L&amp;F Research was founded by the VAR 200 inventors and researchers at the University of Miami Miller School of Medicine, who licensed the intellectual property from the University of Miami. Pursuant to the L&amp;F License Agreement, we (i) paid L&amp;F Research an upfront license fee of $200,000 upon signing; (ii) agreed to make additional payments to L&amp;F Research upon the achievement of certain development milestones up to an aggregate maximum of $21.5 million; and (iii) agreed to pay L&amp;F Research royalty payments on net sales of any resulting product upon the achievement of certain net sales milestones, ranging from 5% to 10% based on certain annual net sales thresholds. In addition, upon the signing of and pursuant to the L&amp;F License Agreement, we issued to L&amp;F Research four (4) warrants (the “L&amp;F Warrants”), of which one (1) warrant was exercised for 200 shares of common stock and the remaining three (3) warrants are exercisable in the aggregate for 300 shares of our common stock upon certain terms and conditions set forth in the L&amp;F License Agreement and the L&amp;F Warrants.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23, 2022, we entered into a Second Amendment to Waiver of Certain Rights under License Agreement (the “Second Amendment”) with L&amp;F Research LLC (“L&amp;F Research”), amending the previously disclosed Waiver of Certain Rights under License Agreement, dated March 2, 2022, between ZyVersa Therapeutics, Inc., a Florida corporation (“Old ZyVersa”) and L&amp;F Research, as amended (the “Waiver Agreement”). The Second Amendment further extended to March 31, 2023, the period that L&amp;F Research waived its right to terminate the License Agreement and exercise any other remedies thereunder, with respect to $1,500,000 of aggregate milestone payments due to L&amp;F Research pursuant to the L&amp;F License Agreement (the “Milestone Payments”).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28, 2023, we entered into an Amendment and Restatement Agreement (the “Restatement”) with L&amp;F Research, amending and restating the Waiver Agreement, as amended. The Restatement provides that, with respect to the Milestone Payments, L&amp;F Research waives its right to terminate the L&amp;F License Agreement and exercise any other remedies thereunder, until (a) March 31, 2023, as to $1,000,000 of such Milestone Payments (“Waiver A”), and (b) January 31, 2024, as to $500,000 of such Milestone Payments (“Waiver B”). Waiver A is contingent upon (i) forgiveness by the Company of $351,579 in aggregate principal amount outstanding under the previously disclosed Promissory Note, dated December 13, 2020, between L&amp;F Research, as the borrower, and Old ZyVersa, as the lender (the “Note”), and (ii) a cash payment by the Company to L&amp;F Research in the amount of $648,421, in each case, to be effectuated on or before March 31, 2023. Waiver B is contingent upon a cash payment by the Company to L&amp;F Research in the amount of $500,000 to be effectuated on or before the earlier of (x) January 31, 2024, and (y) ten business days from the date that the Company receives net proceeds of at least $30,000,000 from the issuance of new equity capital. All other terms of the L&amp;F License Agreement remain in effect.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29, 2023, the Company paid the $648,421 of cash to L&amp;F, thus meeting the conditions of Waiver A, which also had the effect of canceling the Note Receivable and the Put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30, 2024, the Company paid $500,000 of cash to L&amp;F, thus meeting the conditions of Waiver 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L&amp;F License Agreement will terminate at the expiration of the last-to-expire of all royalty payment obligations under the L&amp;F License Agreement and we have the right to terminate the L&amp;F License Agreement upon 60 days’ notice.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L&amp;F License is terminable by either party if the other party is in material breach of the agreement, and has not cured the breach within 60 days of notice. If we fail to make payments under the agreement, L&amp;F Research may terminate the agreement on 10 days’ notice. Further, L&amp;F Research has the right to terminate the L&amp;F License Agreement immediately upon written notice to us if we directly, or through assistance granted to a third party, commence any interference or opposition proceeding with respect to, challenges the validity or enforceability of, or opposes any extension of or the grant of a supplementary protection certificate with respect to, any Licensor Patent Right (as defined in the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we do not complete the Throughput Milestones by the Throughput Milestone Completion Date (as each term is defined in the agreement), L&amp;F Research may elect upon 90 days written notice to us to either (a) terminate the agreement in its entirety; or (b) terminate the exclusivity provisions of the agreement and convert the license to non-exclusive. However, before L&amp;F Research terminates the agreement or terminates exclusivity, the parties will negotiate in good faith to agree upon a revised date for the relevant Throughput Milestone if we fail to achieve a particular Throughput Milestone by the specified time occurs because of a Force Majeure Event or a Significant Change (as those terms are defined in the agreement). In the event we cannot agree as to whether a Force Majeure Event or Significant Change has occurred by the later of the date of failure to meet the original Throughput Milestone Completion Date or 15 days after our notice that a Force Majeure Event or Significant Change has occurred, L&amp;F Research may exercise its termination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InflamaCORE, LLC License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a License Agreement with InflamaCORE, LLC (“InflamaCORE”) effective as of April 18, 2019 (the “InflamaCORE License Agreement”), pursuant to which InflamCORE granted us an exclusive, worldwide, royalty-bearing, sublicensable license to patents, intellectual property rights, technology, and know-how to and for the development and commercialization of IC 100, in all therapeutic and diagnostic uses in all diseases and conditions. InflamaCORE was founded by the IC 100 inventors and researchers at the University of Miami Miller School of Medicine, who licensed the intellectual from the University of Miami and Selexis SA, a cell line development company in Switzerland. Pursuant to the InflamaCORE License Agreement, we (i) paid InflamaCORE an upfront license fee of $346,321.08 upon signing; (ii) agreed to make additional payments to InflamaCORE upon the achievement of certain development milestones up to an aggregate maximum of $22.5 million; (iii) agreed to pay InflamaCORE royalty payments on net sales of certain resulting products upon the achievement of certain net sales milestones, ranging from 5% to 10% depending on the level of net sales;</w:t>
      </w:r>
    </w:p>
    <w:p>
      <w:pPr>
        <w:spacing w:after="0" w:line="1" w:lineRule="exact"/>
        <w:rPr>
          <w:sz w:val="20"/>
          <w:szCs w:val="20"/>
          <w:color w:val="auto"/>
        </w:rPr>
      </w:pPr>
    </w:p>
    <w:p>
      <w:pPr>
        <w:jc w:val="both"/>
        <w:ind w:firstLine="8"/>
        <w:spacing w:after="0" w:line="250" w:lineRule="auto"/>
        <w:tabs>
          <w:tab w:leader="none" w:pos="3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University of Miami royalty payments on net sales of certain resulting products upon the achievement of certain net sales milestones, ranging from 3% to 6% of net sales, depending on the level of net sales; and (v) were granted a sublicense to all third-party technologies, including the Selexis cell line technology, and agreed to pay to InflamaCORE the obligations of their Selexis license. Pursuant to the Selexis license, we paid an upfront license fee to Selexis of CHF 50,000. We are also obligated to pay to Selexis (through reimbursement of InflamaCORE) (i) an annual maintenance fee of CHF 10,000, (ii) payments upon the achievement of certain development milestones up to an aggregate maximum of approximately CHF 1.1 million,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royalty payment on net sales equal to a low single digit. Additionally, upon the execution of and pursuant to the InflamaCORE License Agreement, we issued (i) 114 shares of our common stock to the University of Miami, (ii) and four (4) warrants to InflamaCORE (the “InflamaCORE Warrants”) of which one (1) warrant exercisable for 227 shares of common stock expired in April 2024 and the remaining three (3) warrants are exercisable in the aggregate for 342 shares of our common stock upon certain terms and conditions set forth in the InflamaCORE License Agreement and the InflamaCORE Warrants.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InflamaCORE License Agreement will terminate at the expiration of the last-to-expire of all royalty payment obligations under the InflamaCORE License Agreement and we have the right to terminate the InflamaCORE License Agreement upon 60 days’ notice. The license may be terminated by either party if the other party is in material breach of the agreement, and has not cured the breach within 60 days of notice. If we fail to make payments under the agreement, InflamaCORE may terminate the agreement on 10 days’ notice. Further, the agreement may be terminated by a party upon the bankruptcy or insolvency of the other party.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termination of the InflamaCORE License Agreement, the license granted to us will automatically terminate and revert back to InflamaCORE.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currently own or operate any facilities to formulate, manufacture, test, store, package or distribute VAR 200, IC 100 and any other product candidate that we are developing or may seek to develop and do not currently have the capabilities to conduct such activities. We currently rely on third parties to manufacture, store and test VAR 200, IC 100 and any other product candidate that we may seek to develop. We will depend on third-party suppliers and manufacturing organizations for all our required raw materials and drug substance and to formulate, manufacture, test, store, package and distribute clinical trial quantities of VAR 200, IC 100 and any other product candidate that we may seek to develop. We plan to continue developing our network of third-party suppliers and manufacturing organizations, but in the future we may decide to consider investing in our own manufacturing and supply capabilities if there is a technical need or a strategic or financial benefit.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internal personnel and utilizes consultants with extensive technical, manufacturing, analytical and quality experience to oversee our contract manufacturing and testing activities. Manufacturing is subject to extensive regulations that impose procedural and documentation requirements, including, but not limited to, record-keeping, manufacturing processes and controls, personnel, quality control and quality assurance. Our systems, procedures and contractors are required to be in compliance with these regulations and are assessed through regular monitoring and formal audits.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We spent approximately $1.8 million for the year ended December 31 2024 and $3.2 million for the year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To commercialize any product that is approved for commercial sale, we must either develop our own sales, marketing and distribution infrastructure or collaborate with third parties that have such commercial infrastructure and relevant marketing and sales experience. We expect to be able to build our commercial infrastructure over time in advance of any anticipated launch of our products, and we may rely on licensing, co-sale and co-promotion agreements with strategic partners for the commercialization of our products. If we establish the commercial infrastructure to support the potential marketing of VAR 200, IC 100 and any other product candidate that we may seek to develop, such commercial infrastructure could be expected to include a targeted sales force supported by sales management, internal sales support, a market access group, an internal marketing group and distribution support. To establish the proper commercial infrastructure, we would need to invest significant financial and management resources prior to any approval of VAR 200, IC 100 and any other product candidate that we may seek to develop.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industry is highly competitive. These competitors include many public and private companies, universities, governmental agencies and other research organizations actively engaged in the research and development of products that may be similar to our product candidates that we seek to develop or address similar indications. Many competitors have substantially greater financial, technical and human resources than we possess and may be better equipped to develop, manufacture and market their products. We also expect that the number of companies seeking to develop products and therapies similar to our products may increase over time. Competitive factors in the pharmaceutical and biotechnology industry include product efficacy, safety, ease of use, price, demonstrated cost-effectiveness, marketing effectiveness, stakeholder support, service, reputation, and access to technical information. Any products that we develop and seek to commercialize may not be able to compete with the products of our competitors with respect to one or more of these considerations.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instance, there are currently several other companies with drugs in clinical development for FSGS, targeting inflammation, fibrosis, and vasoconstriction. Among our competitors, there are products in various phases of development, including compounds in Phase 2 and Phase 3 of development. However, we believe that VAR 200 may be the only drug currently in development that addresses lipid accumulation in the glomerulus. The current treatment algorithm for renal disease includes multiple drug therapies to address the various pathways contributing to renal disease. We believe that VAR 200 could potentially be used in combination with other treatment modalities addressing other pathogenic pathways.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there are a number of other companies developing drugs targeting inflammasome pathways, mainly NLRP3 inflammasome pathways, some of which have clinical trials underway in multiple indications. Indications being evaluated in current Phase 2 clinical trials included heart disease, Parkinson’s disease, melanoma, type 2 diabetes, cancer-related oral mucositis, Hidradenitis Suppurativa, and obesity at risk of cardiovascular disease. One company has a phase 3 trial underway in small cell lung cancer. We believe that IC 100 may be the only monoclonal antibody targeting the ASC component of the inflammasome, which can potentially inhibit multiple types of inflammasomes and disrupt the structure and function of ASC specks to prevent initiation and perpetuation of inflammation.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seek to protect our products and technologies through a combination of patents, regulatory exclusivity, and proprietary know-how. 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compositions and methods and any future compositions and methods under development, proprietary information, and proprietary technology through a combination of contractual arrangements and patents, where applicable, both in the United States and abroad. However, even patent protection may not always afford complete protection against competitors who seek to circumvent our patents. For additional information, see section entitled “</w:t>
      </w:r>
      <w:r>
        <w:rPr>
          <w:rFonts w:ascii="Times New Roman" w:cs="Times New Roman" w:eastAsia="Times New Roman" w:hAnsi="Times New Roman"/>
          <w:sz w:val="18"/>
          <w:szCs w:val="18"/>
          <w:i w:val="1"/>
          <w:iCs w:val="1"/>
          <w:color w:val="auto"/>
        </w:rPr>
        <w:t>Risk Factors — Risks Related to Our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L&amp;F License Agreement, we have an exclusive, sublicensable, worldwide license to the inventions relating to 2-hydroxypropyl-beta-cyclodextrin (“2HPβCD”) for the treatment of kidney disease in humans, including FSGS, as described in certain method-of-use patents and pending applications filed in the United States and selected foreign countries (Canada, China, Europe, Japan, and Mexico) from two international patent applications filed pursuant to the provisions of the Patent Cooperation Treaty (“PCT”). Currently, there are 4 issued United States patents and 12 foreign granted or allowed applications. These patents, and any patents that issue from the pending applications, are anticipated to have a term to at least 2033, absent of any patent term adjustments or extensions.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InflamaCORE License Agreement, we have an exclusive, sublicensable, worldwide license to the inventions relating to recognition, diagnosis, and treatment of inflammatory responses and inflammation mediated by inflammasomes and components thereof, including but not limited to IC 100 which is a humanized IgG4 antibody directed against a specific amino acid sequence of the pyrin domain of Apoptosis-associated speck-like protein (“ASC”). The patent portfolio for IC 100 includes 5 patent families covering composition of matter, biomarker, and method-of-use patents and their related national stage filings in the United States and selected foreign countries (Australia, Brazil, Canada, Chile, China, Colombia, Europe, India, Indonesia, Israel, Japan, Malaysia, Mexico, Philippines, Singapore, South Africa, South Korea, Thailand, Vietnam). Currently, there are 6 issued United States patents, 14 foreign granted patents or allowed applications, and 59 pending applications. These patents, including composition of matter patents that have a term until December 2037, and any patents that issue from the pending applications are anticipated to have a term until at least 2028, absent of any patent term adjustments or extensions.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this time, ZyVersa has no patents or patent applications outside of those connected to the L&amp;F or InflamaCORE License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though we have licensed issued patents, there is no guarantee that the validity of the patents will be upheld if challenged by a third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any of our intellectual property rights will afford us any protection from competition.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the trade names Cholesterol Efflux Mediator™ and Lipid Efflux Mediator™ in association with our VAR 200 pharmaceutical preparations and plan to seek federal trademark protection in the United States and foreign national trademark protection where available and when appropriate. No other applications for trademark protection have been filed for any names or logos for products or technologies in development. We intend to use these marks in connection with our pharmaceutical product candidates currently in development as added levels of intellectual property protection for our proprietary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 products, biological products, and medical devices under the Federal Food, Drug, and Cosmetic Act (“FDCA”), the Public Health Service Act (“PHSA”), and other federal laws and regulations. These FDA-regulated products are also subject to state and local statutes and regulations, as well as applicable laws or regulations in foreign countries. The FDA, and comparable regulatory agencies in state and local and local jurisdictions and in foreign countries, impose substantial requirements on the research, development, testing, manufacture, quality control, labeling, packaging, storage, distribution, record-keeping, approval, post-approval monitoring, advertising, promotion, marketing, sampling and import and export of FDA-regulated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product development activities related to VAR 200, IC 100, and any other product candidates that we may seek to develop or acquire in the future will be subject to extensive regulation by various government authorities, including the FDA and other federal, state and local statutes and regulations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often generated in two distinct development states: pre-clinical and clinical. VAR 200, IC 100, and any other product candidates that we may seek to develop or acquire in the future must be approved by the FDA through the New Drug Application (“NDA”), Biologic Licensing Application (“BLA”) or other applicable approval process before they may be legally marketed in the United States.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The clinical stages of development can generally be divided into three sequential phases that may overlap: Phase 1, Phase 2 and Phase 3 clinical trials. In Phase 1, generally, small numbers of healthy volunteers are exposed to single escalating doses and then multiple escalating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In some instances, formal Phase 1 and Phase 2 trials may not be deemed necessary or required by the FDA. Such is often the case when the safety and efficacy of an API is considered to be well understood by the FDA. In Phase 3 studies, the drug or treatment is given to large groups of people to confirm its effectiveness, monitor side effects, compare it to commonly used treatments, and collect information that will allow the drug or treatment to be used safely. Under established regulatory pathways, pharmaceutical products with APIs equal or similar to those known by the FDA often enter more streamlined development programs than compounds entirely new to the agency.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Post-approval studies, sometime referred to as Phase 4 clinical trials, may be conducted after initial marketing approval. These studies may be used to gain additional experience from the treatment of patients in the intended therapeutic condition or to gain additional indications for a medication. In certain instances, the FDA may mandate the performance of Phase 4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Drugs and Biological Products in the United States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or withdrawal from the market, product seizures, total or partial suspension of production or distribution, injunctions, fines, refusals of government contracts, restitution, disgorgement, or civil or criminal penalties.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start of human clinical studies for a new drug or biological product in the United States, pre-clinical laboratory and animal tests are often performed under the FDA’s Good Laboratory Practices regulations. The Sponsor must submit the results of the pre-clinical tests, together with manufacturing information, analytical data, any available clinical data and literature and a proposed clinical protocol to the FDA as part of the Investigational New Drug (“IND”) application. Similar filings are required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study, they may suspend or terminate the study at any time. Studies must be conducted in accordance with good clinical practice and regular reporting of study progress and any adverse experiences is required. Studies are also subject to review by independent institutional review boards responsible for overseeing studies at particular investigator sites and protecting human research study subjects. An independent institutional review board may also suspend or terminate a study once initiated. Accordingly, submission of an IND does not guarantee approval by the FDA allowing clinical trials to begin, or, once begun, that issues will not arise that could cause the trial to be suspended or terminated.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and Biological Products in the United States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completion of Phase 3 trials, data from the trials are analyzed to determine safety and effectiveness. Complete development data is then filed with the FDA in a NDA or BLA, along with proposed labeling for the product and information about the manufacturing and testing processes and facilities that will be used to ensure product quality. The NDA and BLA applications are the vehicle through which drug sponsors formally propose that the FDA approve a new pharmaceutical product for sale and marketing in the United States. The NDA or BLA must contain proof of safety, purity, potency and efficacy, which entails extensive pre-clinical and clinical testing. The data gathered during the animal studies and human clinical trials of an IND become part of the NDA or BLA.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review and evaluation of an NDA or BLA by the FDA may take several years to complete. The FDA may conduct pre-approval inspections of the manufacturing facilities for the new product to determine whether they comply with cGMP requirements and may also audit data from clinical and pre-clinical trials.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may place conditions on approvals including the requirement for a risk evaluation and mitigation strategy (“REMS”) to assure the safe use of the agent. If the FDA concludes a REMS is needed, the Sponsor of the application must submit a proposed REMS, which may include medication guides, physician communication plans, or elements to assure safe use, such as restricted distribution methods, patient registries and other risk minimization tools.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 and Clinical Trials of Drugs and Biological Products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commencing a human clinical trial of a drug or biological product, an IND, which contains the results of preclinical studies along with other information, such as information about product chemistry, manufacturing and controls and a proposed protocol, must be submitted to the FDA. An IND is a request for authorization from the FDA to administer an investigational drug or biological product to humans. The IND automatically becomes effective 30 days after receipt by the FDA, unless the FDA within the 30-day time period raises concerns or questions about the conduct of the clinical trial. In such a case, the IND sponsor must resolve any outstanding concerns with the FDA before the clinical trial may begin. A separate submission to the existing IND must be made for each successive clinical trial to be conducted during drug development.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independent Institutional Review Board (“IRB”) for each site proposing to conduct the clinical trial must review and approve the investigational plan for the trial before it commences at that site. Informed written consent must be obtained from each trial subject.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for drug and biological products typically are conducted in sequential phases that may overlap:</w:t>
      </w:r>
    </w:p>
    <w:p>
      <w:pPr>
        <w:spacing w:after="0" w:line="223" w:lineRule="exact"/>
        <w:rPr>
          <w:sz w:val="20"/>
          <w:szCs w:val="20"/>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investigational drug/biologic is given initially to healthy human subjects or patients with the target disease or condition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metabolism and pharmacologic actions of the drug in humans, side effects and, if possible, to gain early evidence on effectiveness. During Phase I clinical trials, sufficient information about the investigational drug/biologic’s pharmacokinetics and pharmacologic effects may be obtained to permit the design of well-controlled and scientifically valid Phase II clinical trials.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Clinical trials are conducted to evaluate the effectiveness of the drug/biologic for a particular indication or in a limited number of patients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target population to identify possible adverse effects and safety risks, to determine the efficacy of the drug/biologic for specific targeted diseases and to determine dosage tolerance and optimal dosage. Multiple Phase II clinical trials may be conducted by the Sponsor to obtain information prior to beginning larger and more expensive Phase III clinical trials.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When Phase II clinical trials demonstrate that a dosage range of the drug/biologic appears effective and has an acceptable safety profile,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sufficient information for the design of Phase III clinical trials, Phase III clinical trials in an expanded patient population at multiple clinical sites may begin. They are intended to further evaluate dosage, effectiveness and safety, to establish the overall benefit-risk relationship of the investigational drug/biologic and to provide an adequate basis for product labeling and approval by the FDA. In most cases, the FDA requires two adequate and well-controlled Phase III clinical trials to demonstrate the efficacy of the drug in an expanded patient population at multiple clinical trial sites.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clinical trials must be conducted in accordance with FDA regulations, including good clinical practice (“GCP”) requirements, which are intended to protect the rights, safety and well-being of trial participants, define the roles of clinical trial sponsors, administrators and monitors and ensure clinical trial data integrity. Regulatory authorities, including the FDA, an IRB, a data safety monitoring board or the Sponsor, may suspend or terminate a clinical trial at any time on various grounds, including a finding that the participants are being exposed to an unacceptable health risk or that the clinical trial is not being conducted in accordance with FDA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development of a new drug or biologic, sponsors are given opportunities to meet with the FDA at certain points. These points may be prior to submission of an IND, at the end of Phase II clinical trials, and before a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end-of-Phase II clinical trials meetings to discuss their Phase II clinical trials results and present their plans for the pivotal Phase III registration trial that they believe will support approval of the new drug/biologic.</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investigational drug product that is a combination of two different drugs in the same dosage form must comply with an additional rule that requires that each component make a contribution to the claimed effects of the drug product. This typically requires larger studies that test the drug against each of its components.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drugs, biologics, and devices, are required to register and disclose certain clinical trial information. Information related to the product, patient population, phase of investigation, study sites and investigators, and other aspects of the clinical trial, is made public as part of the registration. Sponsors also are obligated to discuss summary results of their clinical trials on clinicaltrials.gov within 1 year after primary completion (the date when the last data point for the primary outcome measure is collected from the last enrolled participant). Disclosure of the clinical trial results can be delayed until the new product or new indication being studied has been approved. Competitors may use this publicly available information to gain knowledge regarding the progress of development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NDA and Biologics License Application (BLA) Approval Processes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drug or biological products must be approved by the FDA through the NDA and BLA approval processes, respectively, before they may be legally marketed in the U.S. These FDA-required processes for drugs or biological products to be marketed in the U.S. generally involve the following:</w:t>
      </w:r>
    </w:p>
    <w:p>
      <w:pPr>
        <w:spacing w:after="0" w:line="162"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in the case of a NDA, completion of animal studies and formulation studies conducted according to good laboratory practice or other applicable regulations;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application;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human clinical trials conducted in accordance with GCP to establish the safety and efficacy of the proposed drug or biological product for its intended use or uses;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 or BLA (as applicable) after completion of all pivotal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pre-approval inspection of manufacturing facilities and audit of clinical trial sites;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a NDA or BLA, as applicable.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obtain approval to market a drug or biological product in the U.S., a marketing application must be submitted to the FDA that provides data establishing to the FDA’s satisfaction the safety and effectiveness of the investigational drug for the proposed indication. The cost of preparing and submitting a NDA or BLA is substantial. Each NDA or BLA submission requires a user fee payment (exceeding $2.5 million in fiscal year 2019), unless a waiver or exemption applies. The manufacturer or sponsor of an approved BLA is also subject to annual establishment fees. The application includes all relevant data available from pertinent non-clinical studies, or preclinical studies and clinical trials, including negative or ambiguous results as well as positive findings, together with detailed information relating to the product’s chemistry, manufacturing, controls and proposed labeling, among other information. Data can come from company-sponsored clinical trials intended to test the safety and effectiveness of a use of a product, or from a number of alternative sources, including studies initiated by investigators that meet GCP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Companies also must develop additional information about the characteristics of the drug or biological product and finalize a process for the NDA or BLA sponsor’s manufacturing the product in compliance with current good manufacturing practice (“cGMP”) requirements. The manufacturing process must be capable of consistently producing quality batches of the product candidate, and the manufacturer must develop methods for testing the finished drug or biological product. Additionally, appropriate packaging must be selected and tested, and stability studies must be conducted to demonstrate that the product candidate does not undergo unacceptable deterioration over its shelf-life.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drug or biological product development, non-clinical studies and clinical trials, along with descriptions of the manufacturing process, tests conducted on the drug or biological product, proposed labeling and other relevant information are submitted to the FDA as part of a NDA or BLA requesting approval to market the product.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reviews all NDAs or BLAs submitted to ensure that they are sufficiently complete for substantive review before it accepts them for filing. FDA may request additional information rather than accept a NDA or BLA for filing. In this event, the NDA or BLA must be resubmitted with the additional information. The resubmitted application also is subject to review before the FDA accepts it for filing. The FDA has 60 days from its receipt of a NDA or BLA to conduct an initial review to determine whether the application will be accepted for filing based on the agency’s threshold determination that it is sufficiently complete to permit substantive review.</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the NDA or BLA submission is accepted for filing, the FDA begins an in-depth review of the NDA or BLA to determine, among other things, whether the proposed product is safe and effective for its intended use, and whether the product is being manufactured in accordance with cGMP to ensure the product’s identity, strength, quality and purity. The FDA has agreed to specific performance goals on the review of NDAs and BLA’s and seeks to review standard NDAs or BLAs within 12 months and prior review biologics within 8 months from submission of the respective applications. The review process may be extended by the FDA for three additional months to consider certain late submitted information or information intended to clarify information already provided in the submission.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the FDA evaluates the NDA or BLA, it will issue either an approval letter or a complete response letter. An approval letter authorizes commercial marketing of the drug or biologic product with specific prescribing information for specific indications. A complete response letter indicates that the application is not ready for approval. A complete response letter may require additional clinical data and/or an additional pivotal clinical trial(s), and/or other significant, expensive and time-consuming requirements related to clinical trials, preclinical studies or manufacturing. Even if such additional information is submitted, the FDA may ultimately decide that the NDA or BLA does not satisfy the criteria for approval. The FDA may also refer applications for novel drug or biological products or drug or biological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 of an advisory committee, but it considers such recommendations carefully and generally follows such recommendations when making decisions.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Before approving a NDA or BLA, the FDA typically will inspect the facilities where the product is manufactured. The FDA will not approve the product unless it determines that the manufacturing processes and facilities are in compliance with cGMP requirements and adequate to assure consistent production of the product within required specifications. After the FDA evaluates the NDA or BLA and the manufacturing facilities, it issues either the approval letter or the complete response letter. If the FDA determines the application, manufacturing process or manufacturing facilities are not acceptable, its complete response letter typically will outline the deficiencies and often will request additional testing or information, which may include additional large-scale clinical testing or information in order for the FDA to reconsider the application. This may significantly delay further review of the application.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FDA finds that a clinical site did not conduct the clinical trial in accordance with GCP regulations, the FDA may determine the data generated by the clinical site should be excluded from the primary efficacy analyses provided in the NDA or BLA. Additionally, notwithstanding the submission of any requested additional information, the FDA ultimately may decide that the application does not satisfy the regulatory criteria for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or when, those deficiencies have been addressed to the FDA’s satisfaction in a resubmission of the NDA or BLA, the FDA will issue the approval letter. The FDA has committed to reviewing such resubmissions in 2 or 6 months depending on the type of information included. An approval letter authorizes commercial marketing and distribution of the product with specific prescribing information for specific indications. As a condition of approval, the FDA may require substantial post-approval testing and surveillance to monitor the product’s safety or efficacy after a product is approved, including additional clinical trials and may impose other conditions, including labeling restrictions, which can materially affect the product’s potential market and profitability. These so-called Phase IV or post-approval clinical trials may be a condition for continuing drug approval. The results of Phase IV clinical trials can confirm the effectiveness of a product candidate and can provide important safety information. In addition, the FDA now has express statutory authority to require sponsors to conduct post-marketing trials to specifically address safety issues identified by the agency. Once granted, product approvals may be withdrawn if compliance with regulatory standards is not maintained or problems or safety issues are identified following initial marketing.</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also has authority to require a REMS to ensure that the benefits of a drug or biological product outweigh its risks. A sponsor may also voluntarily propose a REMS as part of the NDA submission. The need for a REMS is determined as part of the review of the NDA or BLA. Elements of a REMS may include “dear doctor letters,” a medication guide, more elaborate targeted educational programs, and in some cases elements to assure safe use (“ETASU”), which is the most restrictive REMS. ETASU can include, but are not limited to, special training or certification for prescribing or dispensing, dispensing only under certain circumstances, special monitoring and the use of patient registries. These elements are negotiated as part of the NDA or BLA approval, and in some cases the approval date may be delayed. Once implemented, REMS are subject to periodic assessment and modification.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device components or manufacturing processes or facilities, may require submission and FDA approval of a new NDA or BLA, or NDA or BLA supplement before the change can be implemented. A NDA or BLA supplement for a new indication typically requires clinical data similar to that in the original application, and the FDA uses the same procedures and actions in reviewing NDA or BLA supplements as it does in reviewing NDAs or BLAs.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trial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products, or obtaining approval but for significantly limited use, would harm our business. Also, new government requirements, including those resulting from new legislation, may be established, or the FDA’s policies may change, which could delay or prevent regulatory approval of our products in development. In addition, we cannot predict what adverse governmental regulations may arise from future U.S. or foreign governmental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as amended, commonly known as the Hatch-Waxman Act, a portion of a product’s U.S. patent term that was lost during clinical development and regulatory review by the FDA may be restored. The Hatch-Waxman Amendments also provide a process for listing patents pertaining to approved products in the FDA’s Approved Drug Products with Therapeutic Equivalence Evaluations (commonly known as the Orange Book) and for a competitor seeking approval of an application that references a product with listed patents to make certifications pertaining to such patents. In addition, the Hatch-Waxman Amendments provide for a statutory protection, known as non-patent exclusivity, against the FDA’s acceptance or approval of certain competitor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 term restoration can compensate for time lost during drug development and the regulatory review process by returning up to five years of patent life for a patent that covers a new product or its use. This period is generally one-half the time between the effective date of an IND (falling after issuance of the patent) and the submission date of a NDA, plus the time between the submission date of a NDA and the approval of that application, provided the Sponsor acted with diligence. Patent term restorations, however, cannot extend the remaining term of a patent beyond a total of 14 years from the date of product approval and only one patent applicable to an approved drug may be extended and the extension must be applied for prior to expiration of the patent. The USPTO, in consultation with the FDA, reviews and approves the application for any patent term extension or restoration.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seeking approval for a drug through a NDA, applicants are required to list with the FDA each patent whose claims cover the applicant’s product. Upon approval of a drug, each of the patents listed by the NDA holder in the drug’s application or otherwise are published in the FDA’s Orange Book. Drugs listed in the Orange Book can, in turn, be cited by potential generic competitors in support of approval of an abbreviated new drug application (“ANDA”). An ANDA permits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studies or clinical trials to prove the safety or effectiveness of their drug product. Drugs approved under and ANDA are commonly referred to as “generic equivalents” to the listed drug and can often be substituted by pharmacists under prescriptions written for the original listed drug.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also may elect to submit a “section viii” statement certifying that its proposed label does not contain (or carves out) any language regarding the patented method-of-use rather than certify to a listed method-of-use patent. 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thirty-month stay. The ANDA or 505(b)(2) application also will not be approved until any applicable non-patent exclusivity listed in the Orange Book for the branded reference drug has expired. Thus, approval of an ANDA or 505(b)(2) NDA could be delayed for a significant period depending on the patent certification the applicant makes and the reference drug sponsor’s decision to initiate patent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Exclusivity</w:t>
      </w: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Market exclusivity provisions under the FDCA also can delay the submission or the approval of certain drug applications. The Hatch-Waxman Act establishes periods of regulatory exclusivity for certain approved drug products, during which the FDA cannot approve (or in some cases accept) an ANDA or 505(b)(2) application that relies on the branded reference drug. For instance, the FDCA provides a five-year period of non-patent marketing exclusivity within the U.S. to the first applicant to gain approval of a NDA for a new chemical entity (“NCE”). A drug is a NCE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The Hatch- Waxman Act also provides three years of marketing exclusivity to the holder of a NDA (including a 505(b)(2) NDA) for a particular condition of approval, or change to a marketed product, such as a new formulation for a previously approved product, if one or more new clinical studies (other than bioavailability or bioequivalence studies) conducted or sponsored by the applicant were deemed by the FDA to be essential to the approval of the application, including, for example, new indications, dosages or strengths of an existing drug. This three-year exclusivity period protects against FDA approval of ANDAs and 505(b)(2) NDA for drugs that include the innovation that required the new clinical data, but does not prohibit the FDA from approving ANDAs for drugs containing the original active ingredient. Five-year and three-year exclusivity will not delay the submission or approval of a full NDA; however, an applicant submitting a full NDA is required to conduct or obtain a right of reference to all of the non-clinical studies and adequate and well-controlled clinical trials necessary to demonstrate safety and effectiveness.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Biosimilar Exclusivity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creates an abbreviated approval pathway for biosimilar products under section 351(k) of the Public Health Service Act (“PHSA”). A biosimilar product or “biosimilar” is a biological product that is highly similar to and has no clinically meaningful differences from an existing FDA-licensed reference product. Biosimilarity must be shown through analytical studies, animal studies, and at least one clinical study, absent a waiver. A biosimilar product may be deemed interchangeable with a prior licensed product if it is biosimilar and meets additional requirements under the BPCIA, including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An interchangeable product may be substituted for the reference product without the involvement of the prescriber.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BPCIA, no section 351(k) application for a biosimilar may be submitted for four (4) years from the date of licensure of the reference product. Additionally, a reference biologic is granted twelve (12) years of exclusivity from the time of first licensure of the reference product, During this twelve (12)-year exclusivity period,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first biologic product submitted under the abbreviated approval pathway that is determined to be interchangeable with the reference product may obtain exclusivity against a finding of interchangeability for other biologics for the same condition of use for the lesser of (i) one (1) year after first commercial marketing of the first interchangeable biosimilar; (ii) eighteen (18) months after the first interchangeable biosimilar is approved if there is no patent challenge; (iii) eighteen (18) months after resolution of a lawsuit over the patents of the reference biologic in favor of the first interchangeable biosimilar applicant; or (iv) forty-two (42) months after the first interchangeable biosimilar’s application has been approved if a patent lawsuit is ongoing within the forty-two (42)-month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a product that is intended to treat a serious or life-threatening disease or condition for which preclinical or clinical data demonstrate the potential to address unmet medical needs for the condition.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Additionally, fast track designation may be withdrawn if the FDA believes that the designation is no longer supported by data emerging in the clinical trial process.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may also accelerate the approval of a designated Breakthrough Therapy, which is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sponsor of a Breakthrough Therapy may request the FDA to designate the drug as a Breakthrough Therapy at the time of, or any time after, the submission of a IND for the drug. If the FDA designates a drug as a Breakthrough Therapy, it must take actions appropriate to expedite the development and review of the application, which may include (i) holding meetings with the sponsor and the review team throughout the development of the drug; (ii) providing timely advice to, and interactive communication with, the sponsor regarding the development of the drug to ensure that the development program to gather the nonclinical and clinical data necessary for approval is as efficient as practicable; (iii) involving senior managers and experienced review staff, as appropriate, in a collaborative, cross-disciplinary review; (iv) assigning a cross-disciplinary project lead for the FDA review team to facilitate an efficient review of the development program and to serve as a scientific liaison between the review team and the sponsor; and (v) taking steps to ensure that the design of the clinical trials is as efficient as practicable, when scientifically appropriate, such as by minimizing the number of patients exposed to a potentially less efficacious treatment.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NDA holders a six-month extension of any exclusivity — patent or nonpatent — 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Post-Marketing FDA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and the approved product are subject to continuing regulation by the FDA and other federal and state regulatory authorities, including, among other things, monitoring and record-keeping activities, reporting to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products or labeling or changes of site of manufacture are often subject to the approval of the FDA and other regulators, which may or may not be received or may result in a lengthy review process.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FDA, state and foreign regulatory authorities have broad enforcement powers. Failure to comply with applicable regulatory requirements could result in enforcement action by the FDA, state or foreign regulatory authorities, which may include the following:</w:t>
      </w:r>
    </w:p>
    <w:p>
      <w:pPr>
        <w:spacing w:after="0" w:line="16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disgorgement, restitution or civil penalties;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(e.g., total or partial suspension of production) or consent decrees;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administrative detention, or seizure;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requests for future product approvals or foreign regulatory approvals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FDA product marketing approvals or foreign regulatory approvals, resulting in prohibitions on product sales;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 Such actions by government agencies could also require us to expend a large amount of resources to respond to the actions. Any agency or judicial enforcement action could have a material adverse effect on our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FDA regulates prescription drug promotion, including direct-to-consumer advertising. Prescription drug promotion materials must be submitted to the FDA in conjunction with their first use. Any distribution of prescription drug products and pharmaceutical samples must comply with the U.S. Prescription Drug Marketing Act (“PDMA”), a part of the FDCA. Once a product is approved, its manufacture is subject to comprehensive and continuing regulations by the FDA. The FDA regulations require the products be manufactured in specific approved facilities and in accordance with cGMP, and NDA or BLA holders must list their products and register their manufacturing establishments with the FDA. These regulations also impose certain organizational, procedural and documentation requirements with respect to manufacturing and quality assurance activities. Drug manufacturers and other entities involved in the manufacture and distribution of approved drugs are subject to periodic unannounced inspections by the FDA and certain state agencies for compliance with cGMP and other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NDA or BLA holders using contract manufacturers, laboratories or packagers are responsible for the selection and monitoring of qualified firms. These firms are subject to inspections by the FDA at any time, and the discovery of violations could result in enforcement actions that interrupt the operation of any such facilities or the ability to distribute products manufactured, processed or tested by them. Newly-discovered or developed safety or effectiveness data may require changes to a product’s approved labeling, including the addition of new warnings and contraindications, and also may require the implementation of other risk management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and Reimbursement Regulation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VAR 200, IC 100 and any other product candidate that we seek to develop, are approved by the FDA, government coverage and reimbursement policies will both directly and indirectly affect our ability to successfully commercialize the product, and such coverage and reimbursement policies will be affected by future healthcare reform measures. Government health administration authorities, private health insurers and other organizations generally decide which drugs they will pay for and establish reimbursement levels for healthcare. In particular, in the United States, private health insurers and other third-party payors often provide reimbursement for products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Many patients are unlikely to use our products unless coverage is provided and reimbursement is adequate to cover a significant portion of the cost of our products. Sales of our products will therefore depend substantially, both domestically and abroad, to the extent they are reimbursed by government health administration authorities, such as Medicare and Medicaid, private health coverage insurers and other third-party payors. The market for our products will depend significantly on access to third-party payors’ formularies, or lists of products or treatments for which third-party payors provide coverage and reimbursement. Also, third-party payors are developing increasingly sophisticated methods of controlling healthcare costs. Coverage and reimbursements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assure that other payors will also provide coverage for the medical product or services, or to provide coverage at an adequate reimbursement rate. As a result, the coverage determination process will require us to provide scientific and clinical support for the use of or products to each payor separately, with no assurance that adequate coverage and reimbursement will be obtained.</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and other potentially significant markets for VAR 200, IC 100 and any other product candidate that we seek to develop, government authorities and other third-party payors are developing increasingly sophisticated methods of controlling healthcare costs. For example, third-party payors are attempting to limit or regulate the price of medical products, particularly for new and innovative products and therapies, which has resulted in lower average selling prices. Further, the increased emphasis on managed healthcare in the United States will put additional pressure on product pricing, reimbursement and usage. These pressures can arise from rules and practices of managed care groups, judicial decisions and governmental laws and regulations related to Medicare, Medicaid and healthcare reform, pharmaceutical reimbursement policies and pricing in general.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United States and some foreign jurisdictions have enacted or are considering a number of additional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or ACA, enacted in March 2010. In the future, there may be additional proposals relating to the reform of the United States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if a drug product is reimbursed by Medicare, Medicaid or other federal or state healthcare programs, we, and our business activities, including but not limited to our sales, marketing and scientific/educational grant programs must comply with the False Claims Act, as amended, the federal Anti-Kickback Statute, as amended, other healthcare fraud and abuse laws and similar state laws. Additionally, if an outpatient prescription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 and Compliance Requirements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addition to the FDA, including, in the United States, the Centers for Medicare &amp; Medicaid Services (“CMS”),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federal and state fraud and abuse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completion laws.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The Health Insurance Portability and Accountability Act of 1996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Corruption 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In recent years, there has been a substantial increase in the global enforcement of anti-corruption laws. Our anticipated non-U.S. operations and our anticipated expansion into additional countries outside the United States, including in developing countries, could increase the risk of such violations. Violations of these laws may result in severe criminal or civil sanctions, could disrupt our business, and could adversely affect our reputation, business and results of operations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 of Drugs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we can market VAR 200, IC 100 and any other product candidate that we seek to develop, in any jurisdiction outside of the United States, we must obtain the necessary marketing authorizations in such jurisdiction. Many such jurisdictions require extensive safety and efficacy data similar to the data required by the FDA before granting marketing authorization. We may not be successful in obtaining marketing authorizations that we seek outside of the United States. If we are successful in obtaining marketing authorization in one jurisdiction, including the United States, that authorization does not ensure that we will receive marketing authorization in any other jurisdiction. The authorizations that are required to market a pharmaceutical product vary greatly from jurisdiction to jurisdiction. If we obtain marketing approval in any jurisdiction outside of the United States, we will be subject to ongoing regulation in such jurisdiction, consistent with the ongoing regulations to which we would be subject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Data Privacy and Security Laws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non-U.S. laws, such as the GDPR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in Europe, the GDPR went into effect in May 2018 and introduces strict requirements for processing the personal data of individuals within the EEA. The GDPR also increases the scrutiny of transfers of personal data from clinical trial sites located in the EEA to the United States and other jurisdictions that the European Commission does not recognize as having “adequate” data protection laws. Further, recent legal developments in Europe have created complexity and compliance uncertainty regarding certain transfers of information from the EEA to the United States. For example, on June 16, 2020, the Court of Justice of the European Union, or the CJEU, declared the EU-U.S. Privacy Shield framework, or the Privacy Shield, to be invalid. As a result,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Additionally, following the United Kingdom’s withdrawal from the European Union and the EEA, companies have to comply with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 In Canada, PIPEDA and similar provincial laws impose obligations on companies with respect to processing personal information, including health-related information, and provides individuals certain rights with respect to such information, including the right to access and challenge the accuracy of their personal information held by an organization. Failure to comply with PIPEDA could result in significant fines and penalties.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seven (7) full time employees. We believe our relations with our employees are good. In addition, we utilize and will continue to utilize consultants, clinical research organizations and third parties to perform our pre-clinical studies, clinical studies, manufacturing and regulatory functions.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were incorporated under the name “Larkspur Health Acquisition Corp.” on March 17, 2021 under the laws of the State of Delaware for the purpose of effecting a merger, capital stock exchange, asset acquisition, stock purchase, reorganization or similar business combination, involving one or more other businesses. On December 12, 2022, we changed our name to “ZyVersa Therapeutics, Inc.” in connection with the Business Combination (as hereinafter defined) with ZyVersa Therapeutics, Inc., a Florida corporation (“Old ZyVersa”). Our principal executive offices are located at 2200 North Commerce Parkway, Suite 208, Weston, Florida 33326. Our telephone number is (754) 231-1688 and our website address is </w:t>
      </w:r>
      <w:r>
        <w:rPr>
          <w:rFonts w:ascii="Times New Roman" w:cs="Times New Roman" w:eastAsia="Times New Roman" w:hAnsi="Times New Roman"/>
          <w:sz w:val="18"/>
          <w:szCs w:val="18"/>
          <w:i w:val="1"/>
          <w:iCs w:val="1"/>
          <w:color w:val="auto"/>
        </w:rPr>
        <w:t>https://www.zyversa.com</w:t>
      </w:r>
      <w:r>
        <w:rPr>
          <w:rFonts w:ascii="Times New Roman" w:cs="Times New Roman" w:eastAsia="Times New Roman" w:hAnsi="Times New Roman"/>
          <w:sz w:val="18"/>
          <w:szCs w:val="18"/>
          <w:color w:val="auto"/>
        </w:rPr>
        <w:t>. On our website, investors can obtain, free of charge, a copy of our Annual Report on Form 10-K, Quarterly Reports on Form 10-Q, Current Reports on Form 8-K, Code of Business Conduct and Ethics, including disclosure related to any amendments or waivers thereto, other reports and any amendments thereto filed or furnished pursuant to Section 13(a) or 15(d) of the Exchange Act as soon as reasonably practicable after we file such material electronically with, or furnish it to, the U.S. Securities and Exchange Commission (the “SEC”). None of the information posted on our website is incorporated by reference into this Annual Report on Form 10-K. The SEC also maintains a website at http://www.sec.gov that contains reports, proxy and information statements and other information regarding the Company and other companies that file materials with the SEC electronically.</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10-K and the information incorporated herein by reference contain references to registered or common law trademarks, service marks and trade names owned by us or other companies. Solely for convenience, such trademarks, service marks and trade names</w:t>
      </w: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referred to in this report and the information incorporated herein, including logos, artwork, and other visual displays, may appear without the ® or ™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service marks and trade names. We do not intend to use or display of other companies’ trademarks, service marks or trade names to imply a relationship with, or endorsement or sponsorship of us by, any other companies. Other trademarks, service marks and trade names appearing in this report are the property of their respective owners.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is speculative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 following summarizes key risks and uncertainties that could materially adversely affect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summary together with the more detailed risk factors contained below.</w:t>
      </w:r>
    </w:p>
    <w:p>
      <w:pPr>
        <w:spacing w:after="0" w:line="20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never be approved or achieve commercial market acceptance;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with a limited operating history and no revenues and there are a number of factors that may affect our business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do not have data to support regulatory approval of any of our drug products, we have no products approved for commercial sale in any jurisdiction, and we have not generated any revenue from product sales;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capital to develop and commercialize our product candidates. If we are unable to raise sufficient capital, we would be forced to delay, reduce or eliminate our product development programs;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the successful development, regulatory approval and commercialization of our product candidates, in particular VAR 200 and IC 100;</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will face significant competition and our failure to effectively compete may prevent us from achieving significant market penetration;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our business, and any acquisition, strategic relationship, joint venture or investment could disrupt our business and harm our operating results and financial condition;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growth and expand our operations successfully, our reputation, brands, business and results of operations may be harmed;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dependency on our key management members and other key personnel, as well as attracting, retaining and developing qualified personnel in a highly competitive talent market;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risks and may face liabilities and damage to our professional reputation as a result;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domestic and foreign regulations that may subject us to significant costs and compliance requirements;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risks related to our status as an emerging growth company within the meaning of the Securities Act;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maintain effective internal control over financial reporting could result in our failure to accurately or timely report our financial condition or results of operations which could have a material adverse effect on our business and stock price;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as a going concern.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our operating results could be adversely affected;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result in litigation and divert management’s attention;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Stock may never develop or be sustained;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 which could result in substantial losses for investors;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third parties that we infringe or misuse their proprietary technology could subject us to significant liability and could force us to redesign our services and products or to incur significant costs;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effectively, our business would be harmed.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Position and Need for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 candidates may never be approved or achieve commercial market acceptance.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on the market’s confidence that we can develop product candidates for patients with high unmet medical needs, optimize health outcomes and improve patients’ quality of life. Failure of our current and future product candidates, or those jointly developed with our collaborators, to develop or perform as expected could significantly impair our business. We and our collaborators may not succeed in achieving commercial market acceptance for our current or future product candidates due to a number of factors, including:</w:t>
      </w:r>
    </w:p>
    <w:p>
      <w:pPr>
        <w:spacing w:after="0" w:line="18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utility of our platform and their potential advantages over existing technologies to academic institutions, biopharmaceutical companies and the medical community;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collaborators, to comply with FDA and other regulatory requirements;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development of our product candidates and reputation among academic institutions, key opinion leaders and advocacy groups.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business could be negatively impacted due to changes in our research and development plans, financial constraints, the regulatory environment, negative publicity about our product candidates or competing products both of which are circumstances outside of our control. We may not be successful in addressing these or other factors that might affect the market acceptance of our product candidates and technologies. Failure to develop, obtain approval or achieve commercial market acceptance of our product candidates could materially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with a limited operating history and no revenues, and there are a number of factors that may affect our prospects.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development stage pharmaceutical company with a limited operating history and no revenues. The likelihood of success of our business plan must be considered in light of the problems, substantial expenses, difficulties, complications and delays frequently encountered in connection with developing and expanding early-stage businesses and the regulatory and competitive environment in which we operate. Pharmaceutical and biopharmaceutical product development is a highly speculative undertaking, involves a substantial degree of risk and is a capital-intensive business. Accordingly, you should consider our prospects in light of the costs, uncertainties, delays and difficulties frequently encountered by development stage pharmaceutical companies such as our Company, and note that we cannot assure you that we will be able to successfully address these risks.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to date have been primarily limited to our organizational and capital-raising activities, negotiating our license agreements, and conducting development activities for VAR 200 and IC 100. We have not demonstrated our ability to successfully complete large-scale, pivotal clinical trials, obtain regulatory approvals, manufacture a commercial scale product or arrange for a third party to do so on our behalf, conduct sales and marketing activities necessary for successful product commercialization or manage an operational public company. Because of our limited operating history, we have limited insight into trends that may emerge and affect our business, and errors may be made in developing an approach to address those trends and the other challenges faced by development stage pharmaceutical companies such as our Company. Failure to adequately respond to such trends and challenges could cause our business, results of operations and financial condition to suffer or fail. Further, our limited operating history may make it difficult for our stockholders to make any predictions about our likelihood of future success or viability.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relating to our business that may affect our prospects may include other such as:</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to develop and commercialize our product candidates;</w:t>
      </w:r>
    </w:p>
    <w:p>
      <w:pPr>
        <w:spacing w:after="0" w:line="225" w:lineRule="exact"/>
        <w:rPr>
          <w:rFonts w:ascii="Times New Roman" w:cs="Times New Roman" w:eastAsia="Times New Roman" w:hAnsi="Times New Roman"/>
          <w:sz w:val="18"/>
          <w:szCs w:val="18"/>
          <w:color w:val="auto"/>
        </w:rPr>
      </w:pPr>
    </w:p>
    <w:p>
      <w:pPr>
        <w:ind w:left="5540" w:right="4300" w:hanging="5532"/>
        <w:spacing w:after="0" w:line="532" w:lineRule="auto"/>
        <w:tabs>
          <w:tab w:leader="none" w:pos="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for implementation of our development plans;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timing of clinical trials;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preclinical and clinical trials through all phases of preclinical and clinical development;</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our product candidates;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that we seek to develop in the United States and foreign jurisdictions;</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 limit the indications for our product candidates, if approved, require the establishment of Risk Evaluation and Mitigation Strategies (“REMS”), cause an approved drug to be taken off the market or subject us to fines and penalties and third-party claims;</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if approved for marketing;</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manufacture and supply our product candidates;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clinical research organizations (“CROs”) to conduct our clinical trials;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contract manufacturing organizations (“CMOs”) to produce our products for clinical purposes and commercialization;</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acquire and incorporate other businesses, products and/or technologies;</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sales and marketing infrastructure, either through the creation of a commercial infrastructure or through strategic collaborations;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or healthcare providers to obtain coverage of or sufficient reimbursement for our product candidates;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licensors’ abilities to successfully obtain, maintain, defend and enforce intellectual property rights important to our business;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partners’ proprietary technology platform to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to manage our business effectively;</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 operational public company and continue to comply with the rules and requirements of the SEC, and the regulations promulgated thereunder, and Nasdaq’s listing requirement;</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our finance infrastructure and improve our accounting systems and controls;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 and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insurance policies.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never been profitable. To date, we do not have data to support regulatory approval of any of our drug products, we have no products approved for commercial sale in any jurisdiction, and we have not generated any revenue from product sales. As a result, our ability to curtail our losses and reach profitability is unproven, and we may never achieve or sustain profitability.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been profitable and do not expect to be profitable for the foreseeable future. As of December 31, 2024, our accumulated net loss was approximately $179 million, inclusive of the period prior to the Business Combination period. We have devoted most of our financial resources to our organizational and capital-raising activities and negotiating our license agreements, and other strategic partnerships and collaborations. We have not completed development of any product candidate through the receipt of marketing approval, and we have therefore not generated any revenues from product sales. Because of the numerous risks and uncertainties associated with pharmaceutical product development, we are unable to accurately predict the timing or amount of increased expenses or when, or if, we will be able to achieve or maintain profitability. We expect to incur increased expenses as we continue the clinical development of VAR 200 and preclinical development of IC 100 and other product candidates that we may seek to develop and for which we may seek marketing approval in the United States and elsewhere. We also expect an increase in our expenses associated with creating additional infrastructure (including hiring additional personnel) to commence clinical trials and continue the development and commercialization of VAR 200 and IC 100 and other product candidates that we may seek to develop. As a result, we expect to continue to incur net losses and negative cash flows for the foreseeable future. These net losses and negative cash flows have had, and will continue to have, an adverse effect on our stockholders’ equity and working capital.</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through the sale of our equity securities. The amount of our future net losses will depend, in part, on the rate of future growth of our expenses and our ability to generate revenues. If we are unable to develop and commercialize VAR 200, IC 100, or any other product candidates that we may seek to develop, either alone or with collaborators, or if revenues from any product candidate that receives marketing approval are insufficient, we may not be able to raise additional capital and will not achieve profitability. Even if we do achieve profitability, we may not be able to sustain or increase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continue as a 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development stage pharmaceutical company with no commercial products. Our primary product candidates are in the process of being developed and will require significant additional preclinical and clinical development and investment before they could potentially be commercialized. As a result, we have not generated any revenue from operations since inception, and we have incurred substantial net losses to date. Moreover, our cash position is vastly inadequate to support our business plans and substantial additional funding will be needed in order to pursue those plans, which include research and development of our primary product candidates, seeking regulatory approval for those product candidates, and pursuing their commercialization in the United States and other markets. Our independent registered public accounting firm’s report for the year ended December 31, 2024, contains an explanatory paragraph that expresses doubt about our ability to continue as a going concern. Those circumstances raise substantial doubt about our ability to continue as a going concern. In particular, we believe that our current cash on hand will only be sufficient to meet our anticipated cash requirements on a month-to-month basis. If we are unable to continue as a going concern, we might have to liquidate our assets and the values we receive for our assets in liquidation or dissolution could be significantly lower than the values reflected in our financial statements. In addition, our lack of cash resources and our potential inability to continue as a going concern may materially adversely affect the value of our capital stock and our ability to raise new capital or to enter into critical contractual relations with third parties.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is not able to maintain an effective system of internal control over financial reporting, the reliability of its financial reporting, investor confidence in the Company and the value of its common stock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(“Section 404”), requires that we evaluate and determine the effectiveness of internal controls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develop and commercialize our product candidates. If we are unable to raise sufficient capital, we would be forced to delay, reduce or eliminate our product development programs.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expensive. We expect our research and development expenses to increase in connection with our ongoing activities, particularly as we start clinical trials for VAR 200 and conduct preclinical development of IC 100. We have no commitments or arrangements for any additional financing to fund our development and commercialization efforts for VAR 200, IC 100, or any other product candidate that we may seek to develop. We will need to raise substantial additional capital to develop and commercialize VAR 200, IC 100, and any other product candidate that we may seek to develop. Because successful development of VAR 200 or IC 100 is uncertain, we are unable to estimate the actual funds required to complete their development and commercialization.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revenue from VAR 200, IC 100, or any other product candidate that we may seek to develop, if ever, we expect to finance future cash needs through public or private equity offerings, debt financings or corporate collaborations and licensing arrangements. Additional funds may not be available when we need them on terms that are acceptable to us, or at all. If adequate funds are not available, we may be required to delay, reduce the scope of, or curtail, our operations. To the extent that we raise additional funds by issuing equity securities, or securities convertible into equity securities, the ownership of our then existing stockholders may be diluted, which dilution could be significant depending on the price at which we may be able to sell our securities. Also, if we raise additional capital through the incurrence of indebtedness, we may become subject to additional covenants restricting our business activities, the holders of debt instruments may have rights and privileges senior to those of our equity investors, and servicing the interest and principal repayment obligations under such debt instruments could divert funds that would otherwise be available to support research and development, clinical or commercialization activities. Corresponding, we may not be able to enter into collaborations that we seek to establish. To the extent that we raise additional funds through collaborations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near and long-term, will depend on many factors, including, but not limited to:</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and clinical trials for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that we perform additional studies for our product candidates that we seek to develop beyond those that we anticipate;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licensing or other arrangements that we may establish;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commercial-scale outsourced manufacturing capabilities;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if we receive regulatory approval;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we receive regulatory approval;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license or invest in businesses, products or technologies.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U.S. anti-corruption laws and other anti-bribery and anti-kickback laws and regulations.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and other anticorruption, anti-bribery, and anti-money laundering laws in the jurisdictions in which it does business. These laws generally prohibit us and our employees from improperly influencing government officials or commercial parties in order to obtain or retain business, direct business to any person or gain any improper advantage. The FCPA and other applicable anti-bribery and anti-corruption laws also may hold us liable for acts of corruption and bribery committed by our third-party business partners, representatives and agents who are acting on our behalf. We and our third-party business partners, representatives and agents may have direct or indirect interactions with officials and employees of government agencies or state-owned or affiliated entities and it may be held liable for the corrupt or other illegal activities of these third-party business partners and intermediaries and its employees, representatives, contractors and agents, even if it does not explicitly authorize such activities. These laws also require that we keep accurate books and records and maintain internal controls and compliance procedures designed to prevent any such actions. While we have policies and procedures to address compliance with such laws, it cannot assure that its employees and agents will not take actions in violation of its policies or applicable law, for which it may be ultimately held responsible and its exposure for violating these laws increases as its international presence expands and as it increases sales and operations in foreign jurisdictions. Any violation of the FCPA or other applicable anti-bribery, anti-corruption and anti-money laundering laws could result in whistleblower complaints, adverse media coverage, investigations, imposition of significant legal fees, loss of export privileges, severe criminal or civil sanctions or suspension or debarment from U.S. government contracts, substantial diversion of management’s attention, a drop in our stock price or overall adverse consequences to our business, all of which may have an adverse effect on our reputation, business, financial condition and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or those of our third-party providers might be affected by the occurrence of a catastrophic event, such as war or other armed conflicts, geopolitical tensions or trade wars, pandemic or natural disasters.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consultants, clinical research organizations, and third parties to perform pre-clinical and clinical studies, and manufacturing and regulatory functions. A disruption on our operations, or those of our third-party service providers, due to a major earthquake, other natural disasters, including climate-related events (such as drought, water security, heat waves, cold waves, wildfires, and poor air quality), epidemic, pandemic, war, or other catastrophic event, could cause interruptions to our business operations and our research and development efforts. Climate-related catastrophic events that may harm our business, or that of our third-party service providers, are also increasing in frequency and severity. A catastrophic event affecting us, or our third-party service providers, could have a material adverse effect on our operations and financial condition.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occurrence of an epidemic or a pandemic, such as the COVID-19 pandemic, has had, and may in the future, have an adverse effect on our operating results. The extent to which epidemics and pandemics impact our financial condition or results of operations will depend on many factors outside of our control and whether there is a material impact on the businesses or productivity of our employees and other partners. A global pandemic may also intensify the other risks described in this Part I, Item 1A of this report.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will be critical to our success. The timing of current and future clinical trials will depend on the speed at which we can recruit patients to participate in future testing of our product candidates. We may in the future experience difficulties or delays enrolling patients in our clinical trials.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clinicians’ and patients’ perceptions as to the potential advantages of the product candidate being studied in relation to other available therapies, including any new drugs that may be approved for the indications we are investigating and patient’s safety concerns over participating in a clinical trial. We will be required to identify and enroll a sufficient number of patients for any clinical trial for our product candidates. Potential patients may not be adequately diagnosed or identified with the diseases which we are targeting or may not meet the entry criteria for our trials. Additionally, some patients may have neutralizing antibodies at titer levels that would prevent them from being enrolled in a clinical trial for any of our product candidates. As a consequence, enrollment in our clinical trials may be limited or slowed. We also may encounter difficulties in identifying and enrolling patients with a stage of disease appropriate for such future clinical trials. We may not be able to identify, recruit, and enroll a sufficient number of patients, or those with required or desired characteristics to achieve diversity in a trial. If we have difficulty enrolling a sufficient number of patients to conduct clinical trials on our product candidates, we may need to delay, limit, or terminate future clinical trials, any of which could have a material adverse effect on our business, financial condition, results of operations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successful development, regulatory approval and commercialization of our product candidates, in particular VAR 200 and IC 100.</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any revenue in the future, will primarily depend on the successful development, regulatory approval and commercialization or partnering of our product candidates. In the future, we may also become dependent on just one of our product candidates or any future product candidates that we may in-license, acquire or develop. The preclinical and clinical and commercial success of our product candidates will depend on a number of factors, including the following:</w:t>
      </w:r>
    </w:p>
    <w:p>
      <w:pPr>
        <w:spacing w:after="0" w:line="180"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additional capital on acceptable terms, or at all;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clinical trials, which may be significantly slower or cost more than we currently anticipate and will depend substantially upon the performance of third-party contractors;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foreign regulatory agencies to conduct additional preclinical or clinical trials beyond those planned to support the approval and commercialization of our product candidates or any future product candidates;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primary endpoint assessments relating to the proposed indications of our product candidates by the FDA and similar foreign regulatory authorities;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similar foreign regulatory authorities, the safety and efficacy of our product candidates or any future product candidates;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 active compound within the drug product that can be detected in a pharmacokinetics study;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experienced in connection with our product candidates or future approved products, if any;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similar foreign regulatory authorities;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and, where applicable, ensuring that our third-party contractors achieve and maintain, compliance with our contractual obligations and with all regulatory requirements applicable to our product candidates or any future product candidates or approved products, if any;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third parties with whom we contract to manufacture clinical trial and commercial supplies of our product candidates or any future product candidates, remain in good standing with regulatory agencies and develop, validate and maintain commercially viable manufacturing processes that are compliant with current good manufacturing practices, or cGMP, or good agricultural and collection practices, or GACP;</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during preclinical and clinical development and following approval of our product candidates or any future product candidates;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or any future product candidates in the United States and internationally, if approved for marketing, sale and distribution in such countries and territories, whether alone or in collaboration with others;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patients and payors of the benefits, safety and efficacy of our product candidates or any future product candidates, if approved, including relative to alternative and competing treatments;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numerous post-approval regulatory requirements;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establish and enforce intellectual property rights in and to our product candidates or any future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avoid third-party patent interference or intellectual property infringement claims;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in-license or acquire additional product candidates or commercial-stage products that we believe we can successfully develop and commercialize.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 200 may not obtain an FDA designation as an Orphan Drug for FSGS. The FDA received our submission for Orphan Drug Designation on September 17, 2018. Orphan Drug Designation was unable to be granted because (1) the FSGS preclinical model used to support the request reflected prevention rather than treatment of FSGS, which was the proposed indication for VAR 200, and (2) the FDA felt that the prevalence estimate provided was underestimated based on the assumptions and calculations used. We plan to reapply for Orphan Drug Designation when clinical data are available for VAR 200, using additional information to support the prevalence rate of FSGS.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achieve one or more of the above factors, many of which are beyond our control, in a timely manner or at all, we could experience significant delays and increased costs or an inability to obtain regulatory approvals or commercialize our product candidates. Even if regulatory approvals are obtained, we may never be able to successfully commercialize any of our product candidates. Accordingly, we cannot assure you that we will be able to generate sufficient revenue through the sale of our product candidates or any future product candidates to continue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drug development for our product candidate IC 100 is very expensive, time-consuming and uncertain. Our preclinical trials may fail to adequately demonstrate pharmacologic activity in therapeutic areas of interest; cause unintended short- or long-term effects in other bodily systems; or produce unexpected toxicity that may alter or risk benefit assessment. The class of compounds reflective of IC 100 has not entered into clinical trials, and the effects of the pharmacologic class are unknown. These and other factors could prevent or delay further development.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its product candidates are relatively recent. The scientific evidence to support the feasibility of developing agents based on our approach is both preliminary and limited. IC 100 represents a novel therapeutic modality and the successful development may require additional studies and efforts to optimize its therapeutic potential. IC 100 may not demonstrate in patients the therapeutic properties ascribed to it in the laboratory or preclinical studies, and may interact with human biological systems in unforeseen, ineffective or even harmful ways. If we are unable to successfully develop and commercialize IC 100 it may never become profitable and the value of its capital stock may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IC 100 is a relatively novel technology, which makes it difficult to predict the time and cost of development and of subsequently obtaining regulatory approval, if at 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concentrated its research and development efforts on a limited number of initial targeted disease indications. There can be no assurance that we will not experience problems or delays in developing its current or future indications and that such problems or delays will not cause unanticipated costs, or that any such development problems can be solved. Preclinical data generated on IC 100 along with a proposed clinical development plan requires review and allowance by the FDA under an Investigational New Drug Application. We have not generated the data to support such an application, and the results of preclinical studies will require FDA review prior to the initiation of clinical studies which may not be granted.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key element of our strategy for IC 100 is to use its experienced management and scientific team to evaluate IC 100 in broad range of human disease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its pipeline, the potential product candidates that we identify may not be suitable for clinical development. For example, these potential product candidates may be shown to have harmful side effects or other characteristics that indicate that they are unlikely to receive marketing approval and achieve market acceptance. If we do not successfully develop and commercialize product candidates based upon our approach, we will not be able to obtain product revenue in future periods, which likely would result in significant harm to its financial position. There is no assurance that we will be successful in its preclinical and clinical development, and the process of obtaining regulatory approvals will, in any event, require the expenditure of substantial time and financial resources.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for our product candidates is very expensive, time-consuming and uncertain. Our clinical trials may fail to adequately demonstrate the safety and efficacy of our product candidates, which could prevent or delay regulatory approval and commercialization.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drug development for our product candidates is very expensive, time-consuming, difficult to design and implement and its outcome is inherently uncertain. Before obtaining regulatory approval for the commercial sale of a product candidate, we must demonstrate through clinical trials that a product candidate is both safe and effective for use in the target indication, which is impossible to predict. Most product candidates that commence clinical trials are never approved by regulatory authorities for commercialization. Our product candidates are in various stages of development and a failure of one more clinical trial can occur at any stage of testing or at any time during the trial process. We expect that clinical trials for these product candidates will continue for several years, but may take significantly longer than expected to complete. Not all of our product candidates have been tested in humans and the first use in humans may reveal unexpected effects. We have not completed all clinical trials for the approval of any of our product candidates.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ongoing and future clinical trials for our product candidates and do not know if future clinical trials, if any, will begin on time, need to be redesigned, enroll adequate number of patients on time or be completed on schedule, if at all. In addition, we, any partner with which we currently or may in the future collaborate, the FDA, an Institutional Review Board (an “IRB”) or other regulatory authorities, including state and local agencies and counterpart agencies in foreign countries, may suspend, delay, require modifications to or terminate our clinical trials at any time, for various reasons, including:</w:t>
      </w:r>
    </w:p>
    <w:p>
      <w:pPr>
        <w:spacing w:after="0" w:line="183"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safety or tolerability concerns, such as serious or unexpected toxicities or side effects or exposure to otherwise unacceptable health risks, experienced by study participants or other safety issues;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of any product candidate during clinical trials or the failure of our product candidates to meet specified endpoints;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subject recruitment and enrollment rates or inability to enroll a sufficient number of patients in clinical trials resulting from numerous factors, including the prevalence of other companies’ clinical trials for their product candidates for the same indication, or clinical trials for indications for which patients do not as commonly seek treatment;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our clinical trials due to quarantines or other restrictions resulting from the COVID-19 pandemic;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retaining subjects who have initiated a clinical trial but may withdraw at any time due to adverse side effects from the therapy, insufficient efficacy, fatigue with the clinical trial process or for any other reason;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IRB approval for studies to be conducted at each clinical trial site;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or obtaining, or inability to manufacture or obtain,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or changes in our manufacturing process or the product formulation or method of delivery;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regulations and regulatory policies;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reaching agreement on acceptable terms in clinical trial contracts or protocols with prospective contract research organizations (“CRO”), clinical trial sites and other third-party contractors;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a sufficient number of clinical trial sites;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proper formulation and dosing;</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employees, our CROs or their employees or other third-party contractors to comply with contractual and applicable regulatory requirements or to perform their services in a timely or acceptable manner;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employees, our CROs or their employees or any partner with which we may collaborate or their employees to comply with applicable FDA or other regulatory requirements relating to the conduct of clinical trials or the handling, storage, security and recordkeeping for drug and biologic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conflicts with participating clinicians and clinical institutions;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design appropriate clinical trial protocols;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data to support regulatory approval;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subjects during or after treatment, which may result in incomplete data.</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any partner with which we may collaborate may suffer significant setbacks in our clinical trials similar to the experience of a number of other companies in the pharmaceutical and biotechnology industries, even after receiving promising results in earlier trials. In the event that we or our potential partners abandon or are delayed in the clinical development efforts related to our product candidates, we may not be able to execute on our business plan effectively and our business, financial condition, operating results and prospects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VAR 200 or IC 100, our early-stage product candidates under applicable regulatory requirements. The FDA and foreign regulatory bodies have substantial discretion in the approval process, including the ability to delay, limit or deny approval of product candidates. The delay, limitation or denial of any regulatory approval would adversely impact commercialization, our potential to generate revenue, our business and our operating results.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have no products approved for sale, and we may never obtain regulatory approval to commercialize any of our current or future product candidates. The research, testing, manufacturing, safety surveillance, efficacy, quality control, recordkeeping, labeling, packaging, storage, approval, sale, marketing, distribution, import, export and reporting of safety and other post-market information related to our drug products are subject to extensive regulation by the FDA and other regulatory authorities in the United States and in foreign countries, and such regulations differ from country to country. We are not permitted to market any of our current product candidates in the United States until we receive approval of a NDA, BLA or other applicable regulatory filing from the FDA. We are also not permitted to market any of our current product candidates in any foreign countries until we or our partners receive the requisite approval from the applicable regulatory authorities of such countries. To gain approval to market a new drug such as VAR 200 or IC 100, the FDA and/or foreign regulatory authorities must receive, among other things, preclinical and clinical data that adequately demonstrate the safety, purity, potency, efficacy and compliant manufacturing of the drug product for the intended indication applied for in a NDA, BLA or other applicable regulatory filing. The development and approval of new drug products involves a long, expensive and uncertain process, and delay or failure can occur at any stage. A number of companies in the pharmaceutical and biopharmaceutical industry have suffered significant setbacks in nonclinical development, clinical trials, including in Phase 3 clinical development, even after promising results in earlier preclinical studies or clinical trials. These setbacks have been caused by, among other things, findings made while clinical trials were underway and safety or efficacy observations made in clinical trials, including previously unreported adverse events. Success in clinical trials does not ensure that later clinical trials will be successful, or that nonclinical studies will be successful. The results of clinical trials by other parties may not be indicative of the results in trials we or our partners may conduct.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The FDA and foreign regulatory bodies have substantial discretion in the drug development and approval process, including the ability to delay, limit drug development or limit or deny approval of product candidates for many reasons. The FDA or the applicable foreign regulatory body may:</w:t>
      </w:r>
    </w:p>
    <w:p>
      <w:pPr>
        <w:spacing w:after="0" w:line="16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with the design or implementation of one or more clinical trials;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a product candidate safe and effective for its proposed indication, or may deem a product candidate’s safety or other perceived risks to outweigh its clinical or other benefits;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find the data from preclinical studies and clinical trials sufficient to support approval, or the results of clinical trials may not meet the level of statistical or clinical significance required by the FDA or the applicable foreign regulatory body for approval;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with our interpretation of data from preclinical studies or clinical trials performed by us or third parties, or with the interpretation of any partner with which we may collaborate;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data collected from preclinical or clinical trials may not be sufficient to support the submission of an IND or NDA, or other applicable regulatory filing;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preclinical studies or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deficiencies in the formulation, quality control, labeling or specifications of our current or future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clinical trials in pediatric patients in order to establish pharmacokinetics or safety for this more drug-sensitive population;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approval contingent on the performance of costly additional post-approval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our current or any future product candidates for a more limited indication or a narrower patient population than we originally requested or with strong warnings that may affect marketability;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labeling that we believe is necessary or desirable for the successful commercialization of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of the manufacturing processes, controls or facilities of third-party manufacturers or testing labs with which we contract;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our products a device instead of a drug requiring a different approval process and manufacturing needs;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one of our products a combination product instead of a singular drug requiring additional clinical trials or increased number of patients per study; or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approval policies or adopt new regulations in a manner rendering our clinical data or regulatory filings insufficient for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Any delay, limitation or denial in any applicable regulatory approval for any of our product candidates would delay or adversely impact commercialization of our product candidates and would harm our business, financial condition, operating results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current product candidates or any future product candidates obtain regulatory approval, they may fail to achieve the broad degree of physician and patient adoption and use necessary for commercial success.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any of our current or future product candidates, if approved, will depend significantly on the broad adoption and use of the resulting product by physicians, patients and payors for approved indications, and may not be commercially successful. The degree and rate of adoption of our current or future product candidates, if approved, will depend on a number of factors, including:</w:t>
      </w:r>
    </w:p>
    <w:p>
      <w:pPr>
        <w:spacing w:after="0" w:line="176"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patient demand for approved products that treat those indications;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product as compared to other available therapies;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managed care plans and other healthcare payors for any of our product candidates that may be approved;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with our product candidates in relation to alternative treatments and willingness to pay for the product, if approved, on the part of patients;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clinics and patients of the product as a safe and effective treatment;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and patient willingness to adopt a new therapy over other available therapies to treat approved indications;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overcoming any biases physicians or patients may have toward particular therapies for the treatment of approved indications;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training and administration of our product candidates by physicians and medical staff;</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with the results and administration of our product candidates and overall treatment experience;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and profitability that our product candidate may offer a physician as compared to alternative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for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requirement to undertake a risk evaluation and mitigation strategy, or REMS;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quantities of supply to meet demand;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candidates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are approved for use but fail to achieve the broad degree of physician and patient adoption necessary for commercial success, our operating results and financial condition will be adversely affected, which may delay, prevent or limit our ability to generate revenue and continue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will face significant competition and our failure to effectively compete may prevent us from achieving significant market penetration.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competition, and a strong emphasis on developing proprietary therapeutics. Numerous pharmaceutical companies, generic drug companies, biotechnology companies, and academic and research institutions are engaged in the development, patenting, manufacturing, and marketing of health care products competitive with those that we are developing, including Travere, Pfizer, Goldfinch Bio, Boehringer Ingelheim, Astra Zeneca, Sanofi, Novartis, Roche and others. Many of our competitors have greater financial resources, marketing capabilities, sales forces, manufacturing capabilities, research and development capabilities, clinical trial expertise, intellectual property portfolios, experience in obtaining patents and regulatory approvals for product candidates and other resources than us. Some of the companies that offer competing products also have a broad range of other product offerings, large direct sales forces and long-term customer relationships with our target physicians, which could inhibit our market penetration efforts. In addition, certain of our product candidates, if approved, may compete with a share of some patients’ discretionary budgets and for physicians’ attention within their clinical practices.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if we obtain regulatory approval of our product candidates, we will face significant competition from other approved therapies. If approved, our product candidates may also compete with unregulated, unapproved, off-label, and over the counter treatments. Certain of our product candidates, if approved, will present novel therapeutic approaches for the approved indications and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Such competition could lead to reduced market share for our product candidates and contribute to downward pressure on the pricing of our product candidates, which could harm our business, financial condition, operating results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generic or similar type of product competition for our product candidates, which could adversely affect our business, financial condition, operating results and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expiration or loss of any patent protection for any of our product candidates that are approved, or upon the “at-risk” launch, despite pending patent infringement litigation against the generic product or its equivalent, by a generic competitor of a generic version of any of our product candidates that are approved, which may be sold at significantly lower prices than our approved product candidates, we could lose a significant portion of sales of that product in a short period of time, which would adversely affect our business, financial condition, operating results and prospects.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that we commercialize, or that any partner with which we may collaborate commercializes, will be subject to ongoing and continued regulatory review.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after we or our partners achieve U.S. regulatory approval for a product candidate, if any, we or our partners will be subject to continued regulatory review and compliance obligations. For example, with respect to our product candidates, the FDA may impose significant restrictions on the approved indicated uses for which the product may be marketed or on the conditions of approval. A product candidate’s approval may contain requirements for potentially costly post-approval studies and surveillance, including Phase 4 clinical trials or a REMS, to monitor the safety and efficacy of the product. We will also be subject to ongoing FDA obligations and continued regulatory review with respect to, among other things, the manufacturing, processing, labeling, packaging, distribution, adverse event reporting, storage, advertising, promotion and recordkeeping for our product candidates. These requirements include submissions of safety and other post-marketing information and reports, registration, as well as continued compliance with cGMP requirements, with the FDA’s good clinical practice, or GCP, or good agricultural and collections practices, or GACP, requirements and good laboratory practice, or GLP, requirements, which are regulations and guidelines enforced by the FDA for all of our product candidates in clinical and preclinical development, and for any clinical trials that we conduct post-approval. To the extent that a product candidate is approved for sale in other countries, we may be subject to similar restrictions and requirements imposed by laws and government regulators in those countries.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If we, our partners, our product candidates or the manufacturing facilities for our product candidates fail to comply with applicable regulatory requirements, a regulatory agency may:</w:t>
      </w:r>
    </w:p>
    <w:p>
      <w:pPr>
        <w:spacing w:after="0" w:line="16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the marketing or manufacturing of the product, suspend or withdraw product approvals or revoke necessary licenses;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or our partners to enter into a consent decree, which can include imposition of various fines, reimbursements for inspection costs, required due dates for specific actions and penalties for noncompliance;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show cause notices or untitled letters describing alleged violations, which may be publicly available;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criminal investigations and prosecutions;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injunctions, suspensions or revocations of necessary approvals or other licenses;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refuse to approve pending applications or supplements to approved applications filed by us or our potential partners;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drugs or precursor chemicals to be imported or exported to or from the United States;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us or our partners to initiate a product recall.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regulations, policies or guidance of the FDA and other applicable government agencies may change, and new or additional statutes or government regulations may be enacted that could prevent or delay regulatory approval of our product candidates or further restrict or regulate post-approval activities. We cannot predict the likelihood, nature or extent of adverse government regulation that may arise from future legislation or administrative action, either in the United States or abroad. If we are not able to achieve and maintain regulatory compliance, we may not be permitted to market our product candidates, which would adversely affect our ability to generate revenue and achieve or maintain profitability.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our product candidates outside the United States and the FDA and applicable foreign regulatory authorities may not accept data from such trials.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choose to conduct one or more of our clinical trials outside the United States, including in Canada, Europe and South America.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unexpected properties that could delay or prevent their regulatory approval, limit the commercial profile of an approved label or result in post-approval regulatory action.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Unforeseen side effects from any of our product candidates could arise either during clinical development or, if approved, after the approved product has been marketed. Undesirable side effects caused by product candidates could cause us, any partners with which we may collaborate or regulatory authorities to interrupt, modify, delay or halt clinical trials and could result in a more restrictive label or the delay or denial of regulatory approval by the FDA or comparable foreign authorities. Results of clinical trials could reveal a high and unacceptable severity and prevalence of side effects. In such an event, trials could be suspended or terminated, and the FDA or comparable foreign regulatory authorities could order us, or our potential partners, to cease further development of or deny approval of product candidates for any or all targeted indications. The drug-related side effects could affect patient recruitment or the ability of enrolled patients to complete the trial or result in product liability claims. Any of these occurrences may harm our business, financial condition, operating results and prospects.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or other previously unknown problems, caused by our product candidates after obtaining U.S. or foreign regulatory approval or other products with the same or related active ingredients, a number of potentially negative consequences could result, including:</w:t>
      </w:r>
    </w:p>
    <w:p>
      <w:pPr>
        <w:spacing w:after="0" w:line="17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recall of the product or we or our potential partners may voluntarily recall a product;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warnings or contraindications in the product labeling, narrowing of the indication in the product label or field alerts to physicians and pharmacies;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institute a REMS;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limitations on how we promote the product;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modify the product in some other way; the FDA or applicable foreign regulatory authority may require additional clinical trials or costly post-marketing testing and surveillance to monitor the safety or efficacy of the product;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authority may require additional clinical trials or costly post-marketing testing and surveillance to monitor the safety or efficacy of the product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suffer.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above events resulting from undesirable side effects or other previously unknown problems could prevent us or our potential partners from achieving or maintaining market acceptance of the affected product candidate and could substantially increase the costs of commercializing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product liability exposure, and if successful claims are brought against us, we may incur substantial liability if our insurance coverage for those claims is inadequate.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This risk exists even if a product is approved for commercial sale by the FDA and manufactured in facilities licensed and regulated by the FDA or an applicable foreign regulatory authority. Our products and product candidates are designed to affect important bodily functions and processes. Any side effects, manufacturing defects, misuse or abuse associated with our product candidates could result in injury to a patient or even death. We cannot offer any assurance that we will not face product liability suits in the future, nor can we assure you that our insurance coverage will be sufficient to cover our liability under any such cases.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liability claim may be brought against us even if our product candidates merely appear to have caused an injury. Product liability claims may be brought against us by consumers, health care providers, pharmaceutical companies or others selling or otherwise coming into contact with our product candidates, among others. If we cannot successfully defend ourselves against product liability claims we will incur substantial liabilities and reputational harm. In addition, regardless of merit or eventual outcome, product liability claims may result in:</w:t>
      </w:r>
    </w:p>
    <w:p>
      <w:pPr>
        <w:spacing w:after="0" w:line="18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gain regulatory approval of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any related litigation or similar disputes;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and other resources from our primary business;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against us that may not be covered by insurance;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sufficient to cover all of our product liability related expenses or losses and may not cover us for any expenses or losses we may suffer. Moreover, insurance coverage is becoming increasingly expensive, and, in the future, we may not be able to maintain insurance coverage at a reasonable cost, in sufficient amounts or upon adequate terms to protect us against losses due to product liability.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need to increase our product liability coverage if any of our product candidates receive regulatory approval, which will be costly, and we may be unable to obtain this increased product liability insurance on commercially reasonable terms, or at all. A successful product liability claim or series of claims brought against us could cause our stock price to decline and, if judgments exceed our insurance coverage, could decrease our cash and could harm our business, financial condition, operating results and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marketing and promotional claims that are made about drug and biologic products. In particular, a product may not be promoted for uses or indications that are not approved by the FDA or such other regulatory agencies as reflected in the product’s approved labeling and comparative safety or efficacy claims cannot be made without direct comparative clinical data. If we are found to have promoted off-label uses of any of our product candidates, we may receive warning or untitled letters and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however, prevent a physician from using our product candidates outside of those indications for use when in the physician’s independent professional medical judgment he or she deems appropriate. Physicians may also misuse our product candidates or use improper techniques, potentially leading to adverse results, side effects or injury, which may lead to product liability claims. If our product candidates are misused or used with improper technique, we may become subject to costly litigation by physicians or their patients. Furthermore, the use of our product candidates for indications other than those cleared by the FDA may not effectively treat such conditions, which could harm our reputation among physicians and patients.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we may decide to discontinue the development of any of our product candidates or not to continue commercializing one or more of our approved product candidates for a variety of reasons, including the appearance of new technologies that make our product obsolete, competition from a competing product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current and prospective partners may be subject to product recalls in the future that could harm our brand and reputation and could negatively affect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or our current and prospective partners may be subject to product recalls, withdrawals or seizures if any of our product candidates, if approved for marketing, fail to meet specifications or are believed to cause injury or illness or if we are alleged to have violated governmental regulations including those related to the manufacture, labeling, promotion, sale or distribution. Any recall, withdrawal or seizure in the future could materially and adversely affect consumer confidence in our brands and lead to decreased demand for our approved products. In addition, a recall, withdrawal or seizure of any of our approved products would require significant management attention, would likely result in substantial and unexpected expenditures and would harm our business, financial condition and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partners with which we may collaborate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any of our product candidates that become available only by prescription, successful sales by us or by any partners with which we may collaborate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do not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products unless coverage is provided and reimbursement is adequate to cover a significant portion of the cost of our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market for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another alternative is available.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we believe that future coverage and reimbursement will likely be subject to increased restrictions both in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including government restrictions on pricing and reimbursement, could have a negative impact on our business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legislative and regulatory changes related to the healthcare system that could affect our ability to profitably sell or commercialize any product candidates for which we obtain marketing approval in the future. The potential pricing and reimbursement environment for our product candidates may change in the future and become more challenging due to, among other reasons, policies advanced by the current or any new presidential administration, federal agencies, healthcare legislation passed by Congress, or fiscal challenges faced by all levels of government health administration authorities, or by similar changes in foreign countries. The implementation of any such changes could have a material adverse effect on our competitive position, business, financial condition, results of operations, and prospects, including our share price and ability to raise capital.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also be subject to healthcare laws, regulation and enforcement and our failure to comply with those laws could adversely affect our business, operations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federal and state healthcare laws and regulations pertaining to fraud and abuse and patients’ rights are and will be applicable to our business. We are subject to regulation by both the federal government and the states in which we or our partners conduct our business. The laws and regulations that may affect our ability to operate include:</w:t>
      </w:r>
    </w:p>
    <w:p>
      <w:pPr>
        <w:spacing w:after="0" w:line="176" w:lineRule="exact"/>
        <w:rPr>
          <w:sz w:val="20"/>
          <w:szCs w:val="20"/>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soliciting, receiving or providing any remuneration (including any kickback, bribe or rebate), directly or indirectly, overtly or covertly, in cash or in kind, to induce either the referral of an individual or in return for the purchase, lease, or order of any good, facility item or service, for which payment may be made, in whole or in part, under federal healthcare programs such as the Medicare and Medicaid programs;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for example, the federal civil False Claims Act, which impose criminal and civil penalties, including civil whistleblower or qui tam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Affordable Care Act, which require manufacturers of drugs, devices, biologics and medical supplies to report annually to the Centers for Medicare &amp; Medicaid Services information related to payments and other transfers of value provided to physicians and teaching hospitals, and ownership and investment interests held by physicians and their immediate family members;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provided to healthcare providers and other potential referral sources; state laws that require drug manufacturers to report information related to payments and other transfers of value to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Affordable Care Act, among other things, amended the intent requirement of the federal Anti-Kickback Statute and certain criminal healthcare fraud statutes. A person or entity no longer needs to have actual knowledge of the statute or specific intent to violate it.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Achieving and sustaining compliance with these laws may prove costly. In addition,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or regulations that apply to us, we may be subject to penalties, including administrative, civil and criminal penalties, damages, fines, disgorgement, the exclusion from participation in federal and state healthcare programs, individual imprisonment or the curtailment or restructuring of our operations, any of which could adversely affect our ability to operate our business and our financial results.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suppliers and manufacturers must comply with environmental laws and regulations, which can be expensive and restrict how we do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manufacturing activities of our third-party suppliers and manufacturers involve the controlled storage, use and disposal of hazardous materials owned by us,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suppliers’ or manufacturers’ facilities pending use and disposal. We and our suppliers and manufacturers cannot completely eliminate the risk of contamination, which could cause an interruption of our commercialization efforts, research and development efforts and business operations, injury to our service providers and others and environmental damage resulting in costly clean-up and liabilities under applicable laws and regulations governing the use, storage, handling and disposal of these materials and specified waste products. Although we believe that the safety procedures utilized by our third-party suppliers and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We do not currently carry biological or hazardous waste insurance coverage.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CROs and any partners with which we may collaborate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CROs and any partners with which we may collaborate may engage in fraudulent or other illegal activity. Misconduct by these persons could include intentional, reckless or negligent conduct or unauthorized activity that violates: laws or regulations, including those laws requiring the reporting of true, complete and accurate information to the FDA or foreign regulatory authorities; manufacturing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of information obtained in the course of clinical trials, or illegal misappropriation of drug product, which could result in regulatory sanctions or other actions or lawsuits stemming from a failure to be in compliance with such laws or regulations, and serious harm to our reputation. In addition, federal procurement laws impose substantial penalties for misconduct in connection with government contracts and require certain contractors to maintain a code of business ethics and conduct.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operating results.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alleged non-compliance with applicable employment laws and regulation may require operational changes and undermine our competitive positioning or have other material adverse effects on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employment laws and regulations and may become subject to additional such requirements in the future. Although we believe we are in in material compliance with applicable employment laws and regulations, in the event of a change in requirements, we may be required to modify our operations or to utilize resources to maintain compliance with such laws and regulations. Moreover, we may be subject to various employment-related claims including individual actions, class actions, and government enforcement actions relating to alleged employment discrimination, employee classification and related withholding, wage-hour disputes, labor standards or healthcare and benefit issues in the future. Such claims, regardless of validity, may have a material adverse effect on our business, financial condition, cash flows or other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906"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foreign markets for which we intend to rely on collaborations with third parties. If we commercialize VAR 200 or IC 100 or our other product candidates in foreign markets, we would be subject to additional risks and uncertainties, including:</w:t>
      </w:r>
    </w:p>
    <w:p>
      <w:pPr>
        <w:spacing w:after="0" w:line="17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market access and appropriate reimbursement for our product candidates in foreign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 any of which may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Business Combination with a special purpose acquisition company, regulatory obligations may impact us differently than other publicly traded companies.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became a publicly traded company by completing the Business Combination with Larkspur, a special purpose acquisition company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expect to continue to rely on third-party CROs and other third parties to conduct and oversee our clinical trials and other aspects of product development. If these third parties do not meet our requirements or otherwise conduct the trials as required, we may not be able to satisfy our contractual obligations or obtain regulatory approval for, or commercialize, our product candidates when expected or at all.</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 the past relied and expect to continue to rely on third-party CROs to conduct and oversee our clinical trials and other aspects of product development. We also rely upon various medical institutions, clinical investigators and contract laboratories to conduct our trials in accordance with our clinical protocols and all applicable regulatory requirements, including the FDA’s regulations and GCPs, which are an international standard meant to protect the rights and health of patients and to define the roles of clinical trial sponsors, administrators and monitors, and state regulations governing the handling, storage, security and recordkeeping for drug and biologic products. These CROs and other third parties play a significant role in the conduct of these trials and the subsequent collection and analysis of data from the clinical trials. We rely heavily on these parties for the execution of our clinical trials and preclinical studies, and control only certain aspects of their activities. We and our CROs and other third-party contractors are required to comply with GCP, GLP, and GACP requirements, which are regulations and guidelines enforced by the FDA and comparable foreign regulatory authorities for products in clinical development. Regulatory authorities enforce these GCP, GLP and GACP requirements through periodic inspections of trial sponsors, principal investigators and trial sites. If we or any of these third parties fail to comply with applicable GCP, GLP and GACP requirements, the clinical data generated in our clinical trials may be deemed unreliable and the FDA or other regulatory authority may require us to perform additional clinical trials before approving our or our partners’ marketing applications. We cannot assure you that upon inspection by a given regulatory authority, such regulatory authority will determine that any of our clinical or preclinical trials complies with applicable GCP and GLP requirements. In addition, our clinical trials must generally be conducted with product produced under cGMP regulations. Our failure to comply with these regulations and policies may require us to repeat clinical trials, which would delay the regulatory approval process.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do not control whether or not they devote sufficient time and resources to our clinical trials. Our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contractors to supply, manufacture and distribute clinical drug supplies for our product candidates, including certain sole-source suppliers and manufacturers, we intend to rely on third parties for commercial supply, manufacturing and distribution if any of our product candidates receive regulatory approval and we expect to rely on third parties for supply, manufacturing and distribution of preclinical, clinical and commercial supplies of any future product candidates.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supply, manufacture or distribute preclinical, clinical or commercial quantities of drug substances or products. Our ability to develop our product candidates depends and our ability to commercially supply our products will depend, in part, on our ability to successfully obtain the raw materials and APIs and other substances and materials used in our product candidates from third parties and to have finished products manufactured by third parties in accordance with regulatory requirements and in sufficient quantities for preclinical and clinical testing and commercialization. If we fail to develop and maintain supply relationships with these third parties, we may be unable to continue to develop or commercialize our product candidates.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and will continue to rely on certain third parties as the sole source of the materials they supply or the finished products they manufacture. Any of our existing suppliers or manufacturers may:</w:t>
      </w:r>
    </w:p>
    <w:p>
      <w:pPr>
        <w:spacing w:after="0" w:line="162" w:lineRule="exact"/>
        <w:rPr>
          <w:sz w:val="20"/>
          <w:szCs w:val="20"/>
          <w:color w:val="auto"/>
        </w:rPr>
      </w:pPr>
    </w:p>
    <w:p>
      <w:pPr>
        <w:ind w:left="340" w:right="2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supply us with product on a timely basis or in the requested amount due to unexpected damage to or destruction of facilities or equipment or otherwise;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our production demands due to issues related to their reliance on sole-source suppliers and manufacturers;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us with product that fails to meet regulatory requirements;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unavailable through business interruption or financial insolvency;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regulatory status as an approved source;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renew current supply agreements when such agreements expire on a timely basis, on acceptable terms or at all;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production or manufacturing of necessary drug substances or products.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any of the foregoing, if we do not have an alternative supplier or manufacturer in place, we would be required to expend substantial management time and expense to identify, qualify and transfer processes to alternative suppliers or manufacturers. Transferring technology to other sites may require additional processes, technologies and validation studies, which are costly, may take considerable amounts of time, may not be successful and, in most cases, require review and approval by the FDA. Any need to find and qualify new suppliers or manufacturers could significantly delay production of our product candidates, adversely impact our ability to market our product candidates and adversely affect our business. Replacements may not be available to us on a timely basis, on acceptable terms or at all. Additionally, we and our manufacturers do not currently maintain significant inventory of drug substances and other materials. Any interruption in the supply of a drug substance or other material or in the manufacture of our product candidates could have a material adverse effect on our business, financial condition, operating results and prospects.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direct control over the ability of our contract suppliers and manufacturers to maintain adequate capacity and capabilities to serve our needs, including quality control, quality assurance and qualified personnel. Although we are ultimately responsible for ensuring compliance with regulatory requirements such as cGMPs and GACP, we are dependent on our contract suppliers and manufacturers for day-to-day compliance with cGMPs or GACP for production of raw materials, APIs and finished products.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and GACP requirements enforced by the FDA through its facilities inspection program and review of submitted technical information. If the safety of any product or product candidate or component is compromised due to a failure to adhere to applicable laws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our being unable to effectively commercialize our approved products on a timely basis, or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these contract manufacturers are engaged with other companies to supply and manufacture materials or products for such companies, which also exposes our suppliers and manufacturers to regulatory risks for the production of such materials and products. As a result, failure to meet the regulatory requirements for the production of those materials and products may also affect the regulatory clearance of a contract supplier’s or manufacturer’s facility. If the FDA or a comparable foreign regulatory agency does not approve these facilities for the supply or manufacture of our product candidates, or if it withdraws its approval in the future, we may need to find alternative supply or manufacturing facilities, which would negatively impact our ability to develop, obtain regulatory approval of or market our product candidates, if approved.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reliance on contract manufacturers and suppliers further exposes us to the possibility that they, or third parties with access to their facilities, will have access to and may misappropriate our trade secrets or other proprietary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and maintain collaborations, we may have to alter our development and commercialization plans.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will require substantial additional cash to fund expenses. In order to fund further development of our product candidates, we may collaborate with pharmaceutical and biotechnology companies for the development and potential commercialization of those product candidates. We face significant competition in seeking appropriate partners. Whether we reach a definitive agreement for a collaboration will depend, among other things, upon our assessment of the partner’s resources and experience, the terms and conditions of the proposed collaboration and the proposed partner’s evaluation of a number of factors. Those factors may include the design or results of clinical trials; the likelihood of approval by the FDA or other regulatory authorities; the potential market for the subject product candidate; the costs and complexities of manufacturing and delivering such product candidate to patients; the potential of competing products; any uncertainty with respect to our ownership of our intellectual property; and industry and market conditions generally. The partner may also consider alternative product candidates or technologies for similar indications that may be available for collaboration and whether such a collaboration could be more attractive than the one with us for our product candidate. We may also be restricted under future license agreements from entering into agreements on certain terms with potential partners. Collaborations are complex and time-consuming to negotiate and document. In addition, there have been a significant number of recent business combinations among large pharmaceutical companies that have resulted in a reduced number of potential future partners.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collaborations we may enter into may involve the following risks:</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collaborators’ strategic focus or available funding, or external factors, such as an acquisition, may divert resources or create competing priorities;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discovery and preclinical development, provide insufficient funding for product development of targets selected by us, stop or abandon discovery and preclinical development for a product candidate, repeat or conduct new discovery and preclinical development for a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than ours;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development of our product candidates;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discovery, preclinical development or commercialization of product candidates, might lead to additional responsibilities for us with respect to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intellectual property rights licensed to us or may use our proprietary information in such a way as to invite litigation that could jeopardize or invalidate our intellectual property or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Collaborations typically impose detailed obligations on each party. If we were to breach our obligations, we may face substantial consequences, including potential termination of the collaboration, and our rights to our partners’ product candidates, in which we have invested substantial time and money, would be lost.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 Our Employees and Our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further increase the size and complexity of our organization in the future, and we may experience difficulties in executing our growth strategy and managing any growth.</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personnel, systems and facilities currently in place are not adequate to support our business plan and near-term future growth. We will need to further expand our chemistry and manufacturing team, clinical team, managerial, operational, financial, and other resources to support our planned research, development and commercialization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manage our operations, growth and various projects effectively requires that we:</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management and regulatory compliance controls and reporting systems and procedures;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sufficient numbers of talented employees;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marketing, sales and distribution capability;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commercialization activities for our product candidates effectively and in a cost-effective manner;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relationships with development and commercialization partners;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preclinical and clinical trials effectively;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third-party supply and manufacturing operations effectively and in a cost-effective manner, while increasing production capabilities for our current product candidates to commercial levels;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while carrying out our contractual obligations to partners and other third parties.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utilized and continue to utilize the services of part-time outside consultants to perform a number of tasks for us, including tasks related to preclinical and clinical testing. Our growth strategy may also entail expanding our use of consultants to implement these and other tasks going forward. We rely on consultants for certain functions of our business and will need to effectively manage these consultants to ensure that they successfully carry out their contractual obligations and meet expected deadlines. There can be no assurance that we will be able to manage our existing consultants or find other competent outside consultants, as needed, on economically reasonable terms, or at all. If we are not able to effectively manage our growth and expand our organization by hiring new employees and expanding our use of consultants, we might be unable to successfully implement the tasks necessary to execute effectively on our planned research, development and commercialization activities and, accordingly, might not achieve our research, development and commercialization goals.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or commercialize our product candidates or otherwise implement our business plan.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including: Stephen C. Glover, Peter Wolfe and Karen A. Cashmere. The loss of the services of any of these individuals could impede, delay or prevent the successful development of our product pipeline, completion of our planned clinical trials, commercialization of our product candidates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 In order to retain valuable employees at our company, in addition to salary and cash incentives, we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Weston, FL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competitive job market creates a challenge and potential risk as we grow and strive to attract and retain a highly skilled workforce.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for our employees, including highly skilled technology and product professionals, is extremely intense reflecting a tight labor market. This can present a risk as we compete for experienced candidates, especially if the competition is able to offer more attractive financial terms of employment. This risk extends to our current employee population. We may also invest significant time and expense in engaging and developing our employees as we grow our business, which also increases their value to other companies that may seek to recruit them. Turnover can result in significant replacement costs and lost productivity. Additionally, U.S. immigration policy may make it more difficult for qualified foreign nationals to obtain or maintain work visas under the H-1B classification. These H-1B visa limitations may make it more difficult and/or more expensive for us to hire the skilled professionals we need to execute our growth strategy and may adversely impact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in-license, acquire, develop and market additional products and product candidates and we may in-license or acquire commercial-stage products or engage in other strategic transactions. Because our internal research and development capabilities are limited, we may be dependent upon pharmaceutical companies, academic scientists and other researchers to sell or license products or technology to us. The success of this strategy depends partly upon our ability to identify and select promising pharmaceutical product candidates and products, negotiate licensing or acquisition agreements with their current owners and finance these arrangements.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any product candidate that we acquire may require additional development efforts prior to commercial sale, including preclinical or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approved products that we acquire will be manufactured or sold profitably or achieve market acceptance.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entail numerous potential operational and financial risks, including:</w:t>
      </w:r>
    </w:p>
    <w:p>
      <w:pPr>
        <w:spacing w:after="0" w:line="180"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acquisition and integration costs;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impairment charges;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partners or customers of any acquired businesses due to changes in management and ownership;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our key employees or those of any acquired businesses.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we will undertake or successfully complete any transactions of the nature described above, and any transaction that we do complete could harm our business, financial condition, operating results and prospects.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and supply of the APIs and other substances and materials used in our product candidates is a complex and technically challenging undertaking, and there is potential for failure at many points in the manufacturing, testing, quality assurance and distribution supply chain, as well as the potential for latent defects after products have been manufactured and distributed.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Manufacturing and supply of APIs, other substances and materials and finished drug products is technically challenging. Changes beyond our direct control can impact the quality, volume, price and successful delivery of our product candidates and can impede, delay, limit or prevent the successful development and commercialization of our product candidates. Mistakes and mishandling are not uncommon and can affect successful production and supply. Some of these risks include:</w:t>
      </w:r>
    </w:p>
    <w:p>
      <w:pPr>
        <w:spacing w:after="0" w:line="180"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manufacturers to follow cGMP or GACP requirements or mishandling of product while in production or in preparation for transit;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contract suppliers and manufacturers to efficiently and cost-effectively increase and maintain high yields and batch quality, consistency and stability;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 FDA approved bioassay for release of any future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optimal drug delivery substances and techniques, production and storage methods and packaging and shipment processes;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import/export risk, particularly given the global nature of our supply chain;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analytical results or failure of analytical techniques that we depend on for quality control and release of any future product;</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labor disputes, financial distress, lack of raw material supply, issues with facilities and equipment or other forms of disruption to business operations of our contract manufacturers and suppliers;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latent defects that may become apparent after the product has been released and which may result in recall and destruction of product.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of these factors could result in delays or higher costs in connection with our clinical trials, regulatory submissions, required approvals or commercialization of our product candidates, which could harm our business, financial condition, operating results and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Consequently, any predictions you make about our future success or viability may not be as accurate as they could be if we had a longer operating history or approved products on the market. Furthermore, our operating results may fluctuate due to a variety of other factors, many of which are outside of our control and may be difficult to predict, including the following:</w:t>
      </w:r>
    </w:p>
    <w:p>
      <w:pPr>
        <w:spacing w:after="0" w:line="183"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the timing of clinical testing for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clinical development;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FDA guidelines and requirements, and the quantity of production;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to develop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 or cause an approved drug to be taken off the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or healthcare providers to obtain coverage of or sufficient reimbursement for our product candidates, if approved;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to supply or manufacture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marketing and distribution infrastructure in a timely manner;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if approved, and our ability to forecast demand for those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approval and commercialize our product candidates outside of the United States;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third parties’ abilities to protect intellectual property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 or other disputes;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to manage our business effectively;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liquidity needs could be negatively affected by market fluctuations and economic downturn.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and liquidity could be negatively affected by economic conditions generally, both in the United States and elsewhere around the world. The market for discretionary medical products and procedures may be particularly vulnerable to unfavorable economic conditions. Some patients may consider certain of our product candidates to be discretionary, and if full reimbursement for such products is not available, demand for these products may be tied to the discretionary spending levels of our targeted patient populations. Domestic and international equity and debt markets have experienced and may continue to experience heightened volatility and turmoil based on domestic and international economic conditions and concerns. In the event these economic conditions and concerns continue or worsen and the markets continue to remain volatile, our operating results and liquidity could be adversely affected by those factors in many ways, including weakening demand for certain of our products and making it more difficult for us to raise funds if necessary, and our stock price may decline. Additionally, although we plan to market our products primarily in the United States, we could in the future have partners with extensive global operations, indirectly exposing us to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failures in our internal computer systems.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computer systems and those of our current and any future partners, contractors and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manufacturing activities, development programs and our business operations. For example, the loss of manufacturing records or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commercialization and development of our products and product candidates could be delayed.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our systems and infrastructure face certain risks, including cybersecurity and data leakage risks.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disruptions to our information technology systems or breaches of information security could adversely affect our business. In the ordinary course of business, we collect, store and transmit large amounts of confidential information, and it is critical that we do so in a secure manner to maintain the confidentiality and integrity of such confidential information. The size and complexity of our information technology systems, and those of our third-party vendors with whom we contract, make such systems potentially vulnerable to service interruptions and security breaches from inadvertent or intentional actions by our employees, partners or vendors, from attacks by malicious third parties, or from intentional or accidental physical damage to our systems infrastructure maintained by us or by third parties. Maintaining the secrecy of this confidential, proprietary, 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use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reason, could enable others to produce competing products, use our proprietary technology or information, or adversely affect our business or financial condition. Further, any such interruption, security breach, loss or disclosure of confidential information, could result in financial, legal, business, and reputational harm to us and could have a material adverse effect on our business, financial position, results of operations or cash flow.</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Due to our primarily remote workforce, we may face increased cyber risks that could significantly harm our business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primarily remote workforce since the COVID-19 pandemic and may be exposed to increased cybersecurity risks as a result such business practices. Although to date we have not experienced any material losses relating to cyberattacks, there can be no assurance that we will not suffer such losses in the future. Cyberattacks are increasing in their frequency, sophistication, and intensity. As cyber threats continue to evolve, we may be required to expend significant additional resources to continue to modify or enhance its protective measures or to investigate and remediate any information security vulnerabilities. If we are unable to effectively manage the cybersecurity and other risks of remote work, our business could be harmed or otherwise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could adversely affect our business, financial condition, and operating results.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depends on its intellectual property and proprietary technology, the protection of which is crucial to the success of its business. We rely on a combination of trademark, copyright, and trade secret laws, license agreements, intellectual property assignment agreements, and confidentiality procedures to protect its intellectual property. Additionally, we rely on proprietary information (such as trade secrets, know-how and confidential information) to protect intellectual property that may not be patentable, or that we believe is best protected by means that do not require public disclosure. We generally attempt to protect our intellectual property, technology, and confidential information by requiring our employees and consultants who develop intellectual property on our behalf to enter into confidentiality and invention assignment agreements and third parties we share information with to enter into nondisclosure agreements.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 For example, we may fail to enter into the necessary agreements, and even if entered into, these agreements may be willfully breached or may otherwise fail to prevent disclosure, third-party infringement or misappropriation of our proprietary information, may be limited as to their term and may not provide an adequate remedy in the event of unauthorized disclosure or use of proprietary information.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intellectual property rights and other proprietary rights, and failure to obtain or maintain protection for our proprietary information could adversely affect our competitive business position.</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our efforts to protect our proprietary rights, other parties may unintentionally or willfully disclose, obtain or use our technologies or systems, which may allow unauthorized parties to copy aspects of our platform or other software, technology, and functionality or obtain and use information that we consider proprietary. In addition, unauthorized parties may also attempt, or successfully endeavor, to obtain our intellectual property, confidential information and trade secrets through various methods, including through scraping of public data or other content from our website or mobile applications, cybersecurity attacks, and legal or other methods of protecting this data may be inadequate. Monitoring unauthorized use and disclosures of our intellectual property, proprietary technology, or confidential information can be difficult and expensive and we cannot be sure that the steps we have taken will prevent misappropriation or infringement of our intellectual property or proprietary rights.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have registered domain names for websites that we use in our business, such as </w:t>
      </w:r>
      <w:r>
        <w:rPr>
          <w:rFonts w:ascii="Times New Roman" w:cs="Times New Roman" w:eastAsia="Times New Roman" w:hAnsi="Times New Roman"/>
          <w:sz w:val="18"/>
          <w:szCs w:val="18"/>
          <w:i w:val="1"/>
          <w:iCs w:val="1"/>
          <w:color w:val="auto"/>
        </w:rPr>
        <w:t>www.zyversa.com</w:t>
      </w:r>
      <w:r>
        <w:rPr>
          <w:rFonts w:ascii="Times New Roman" w:cs="Times New Roman" w:eastAsia="Times New Roman" w:hAnsi="Times New Roman"/>
          <w:sz w:val="18"/>
          <w:szCs w:val="18"/>
          <w:color w:val="auto"/>
        </w:rPr>
        <w:t xml:space="preserve"> and other variations. The inclusion of the website address in this document does not include or incorporate by reference the information on our website into this document.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have and may continue to adopt service names similar to ours, thereby harming our ability to build brand identity and possibly leading to user confusion. In addition, there could be potential trade name or trademark infringement claims brought by owners of other trademarks that are similar to our trademarks. Further, litigation or proceedings before the U.S. Patent and Trademark Office or other governmental authorities and administrative bodies in the United States and abroad may be necessary in the future to enforce our intellectual property rights and to determine the validity and scope of the proprietary rights of others. Any litigation we initiate concerning the violation by third parties of our intellectual property rights is likely to be expensive and time-consuming and could lead to the invalidation of, or render unenforceable, its intellectual property, or could otherwise have negative consequences for us. Even if we sue other parties for such infringement, such suits may have adverse consequences for our business. In addition, we may not timely or successfully apply for a patent or register its trademarks or otherwise secure its intellectual property, which could result in negative effects to our market share, financial condition and results of operations. Our efforts to protect, maintain, or enforce our proprietary rights may not be respected in the future or may be invalidated, circumvented or challenged, and could result in substantial costs and diversion of resources, which could adversely affect our business, financial condition,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registered domain names that we use in, or are related to, its business. 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We may not be able to obtain preferred domain names outside the United States due to a variety of reasons, including because they are already held by others. In addition, our competitors and others could attempt to capitalize on our brand recognition by using domain names similar to our domain names.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future patents.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there has not been a consistent policy regarding the breadth or interpretation of claims allowed in patents in the United States and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United States Patent and Trademark Office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contains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or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to us,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The requirements for patentability may differ in certain countries, particularly developing countries.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have an adverse effect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intellectual property license agreements, we could lose license rights that are important to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certain license agreements that impose various diligence, milestone, royalty, insurance and other obligations on us. If we fail to comply with these obligations, the respective licensors may have the right to terminate the license, in which event we may not be able to develop or market the affected product candidate. The loss of such rights could materially adversely affect our business, financial condition, operating results and prospects. For more information about these license arrangements, see “</w:t>
      </w:r>
      <w:r>
        <w:rPr>
          <w:rFonts w:ascii="Times New Roman" w:cs="Times New Roman" w:eastAsia="Times New Roman" w:hAnsi="Times New Roman"/>
          <w:sz w:val="18"/>
          <w:szCs w:val="18"/>
          <w:i w:val="1"/>
          <w:iCs w:val="1"/>
          <w:color w:val="auto"/>
        </w:rPr>
        <w:t>Part I – Business – Strategic Alliances and Arrangements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it will be costly and time-consuming, and an unfavorable outcome in that litigation could have a material adverse effect on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We cannot guarantee that marketing and selling such candidates and using such technologies will not infringe existing or future patents. Numerous U.S. and foreign issued patents and pending patent applications owned by third parties exist in the fields relating to our product candidates. As the biotechnology and pharmaceutical industries expand and more patents are issued, the risk increases that others may assert that our product candidates, technologies or methods of delivery or use infringe their patent rights. Moreover, it is not always clear to industry participants, including us, which patents cover various drugs, biologics, drug delivery systems or their methods of use, and which of these patents may be valid and enforceable. Thus, because of the large number of patents issued and patent applications filed in our fields, there may be a risk that third parties may allege they have patent rights encompassing our product candidates, technologies or methods.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may be issued patents of third parties that are infringed or are alleged to be infringed by our product candidates or proprietary technologies. Because some patent applications in the United States may be maintained in secrecy until the patents are issued, because patent applications in the United States and many foreign jurisdictions are typically not published until eighteen months after filing and because publications in the scientific literature often lag behind actual discoveries, we cannot be certain that others have not filed patent applications for technology covered by our own and in-licensed issued patents or our pending applications. Our competitors may have filed, and may in the future file, patent applications covering our product candidates or technology similar to ours. Any such patent application may have priority over our own and in-licensed patent applications or patents, which could further require us to obtain rights to issued patents covering such technologies. If another party has filed a U.S. patent application on inventions similar to those owned or in-licensed to us, we or, in the case of in-licensed technology, the licensor may have to participate, in the United States, in an interference proceeding to determine priority of invention.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having patent or other intellectual property rights alleging that our product candidates or proprietary technologies infringe such third parties’ intellectual property rights, including litigation resulting from filing under Paragraph IV of the Hatch-Waxman Act. These lawsuits could claim that there are existing patent rights for such drug and this type of litigation can be costly and could adversely affect our operating results and divert the attention of managerial and technical personnel, even if we do not infringe such patents or the patents asserted against us are ultimately established as invalid. There is a risk that a court would decide that we are infringing the third party’s patents and would order us to stop the activities covered by the patents. In addition, there is a risk that a court will order us to pay the other party damages for having violated the other party’s patents.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claims, or to avoid potential claims, we may choose or be required to seek licenses from third parties. These licenses may not be available on commercially acceptable terms, or at all. Even if we are able to obtain a license, the license would likely obligate us to pay license fees or royalties or both, and the rights granted to us might be nonexclusive, which could result in our competitors gaining access to the same intellectual property, or such rights might be restrictive and limit our present and future activities. Ultimately, we or a licensee could be prevented from commercializing a product, or forced to cease some aspect of our business operations, if, as a result of actual or threatened patent infringement claims, we are unable to enter into licenses on acceptable terms.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possible infringement claims against us, we may become a party to other patent litigation and other proceedings, including interference, derivation, re-examination or other post-grant proceedings declared or granted by the USPTO, and similar proceedings in foreign countries, regarding intellectual property rights with respect to our current or of our other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To date, no litigation asserting infringement claims has ever been brought against us. If a third-party claims that we infringe its intellectual property rights, we may face a number of issues, including:</w:t>
      </w:r>
    </w:p>
    <w:p>
      <w:pPr>
        <w:spacing w:after="0" w:line="176" w:lineRule="exact"/>
        <w:rPr>
          <w:sz w:val="20"/>
          <w:szCs w:val="20"/>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or technology at issue infringes or violates the third party’s rights, and if the court finds that the infringement was willful, we could be ordered to pay treble damages and the patent owner’s attorneys’ fees;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the product or using the technology unless the third party licenses its intellectual property rights to us, which it is not required to do;</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or upfront fees or grant cross-licenses to intellectual property rights for our products or technologies;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processes so they do not infringe, which may not be possible or may require substantial monetary expenditures and time.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harm our ability to raise additional funds or otherwise adversely affect our business, financial condition, operating results and prospects.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rely on certain third-party licensors and partners, and will continue to do so in the future, if one of our licensors or partners is sued for infringing a third party’s intellectual property rights, our business, financial condition, operating results and prospects could suffer in the same manner as if we were sued directly. In addition to facing litigation risks, we have agreed to indemnify certain third-party licensors and partners against claims of infringement caused by our proprietary technologies, and we have entered or may enter into cost-sharing agreements with some our licensors and partners that could require us to pay some of the costs of patent litigation brought against those third parties whether or not the alleged infringement is caused by our proprietary technologies. In certain instances, these cost-sharing agreements could also require us to assume greater responsibility for infringement damages than would be assumed just on the basis of our technology.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foregoing could adversely affect our business, financial condition or operating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and time-consuming, particularly for a company of our size.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partners, to prevent misappropriation of our proprietary rights, particularly in countries where the laws may not protect such rights as fully as in the United States.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or warrants could be significantly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proprietary trade secrets or confidential know-how and unpatented know-how to be important to our business. We may rely on trade secrets or confidential know-how to protect our technology, especially where patent protection is believed by us to be of limited value.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collaborators,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collaborators, contractors and advisors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The enforceability of confidentiality agreements may vary from jurisdiction to jurisdiction.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employees, consultants, collaborators, contractors and advisors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to us alleged trade secrets of their former employers or their former or current customers.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certain of our employees were formerly employed by other biotechnology or pharmaceutical companies, including our competitors or potential competitors. Moreover, we engage the services of consultants to assist us in the development of our products and product candidates, many of whom were previously employed at or may have previously been or are currently providing consulting services to, other biotechnology or pharmaceutical companies, including our competitors or potential competitors. We may be subject to claims that these employees and consultants or we have inadvertently or otherwise used or disclosed trade secrets or other proprietary information of their former employers or their former or current customers. Although we have no knowledge of any such claims being alleged to date, if such claims were to arise, litigation may be necessary to defend against any such claims. Even if we are successful in defending against any such claims, any such litigation could be protracted, expensive, a distraction to our management team, not viewed favorably by investors and other third parties and may potentially result in an unfavorable outcome.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patent term expires before or soon after our products are approved, or if manufacturers of generic or biosimilar drugs successfully challenge our patents, our business may be materially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have a limited duration. In the United States, if all maintenance fees are timely paid, the natural expiration of a patent is generally twenty (20) years from its earliest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generic or biosimilar medications.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Act, and similar legislation in the European Union.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and only one patent applicable to an approved drug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than we expect. Also, the scope of our right to exclude during any patent term extension period may be limited or may not cover a competitor’s product or product use. As a result, our revenue from applicable products could be reduced, possibly materially.</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have a material adverse effect on any potential sales of that product. Upon the expiration of our issued patents or patents that may issue from our pending patent applications, we will not be able to assert such patent rights against potential competitors and our business and results of operations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information may be lost, or we may suffer security breaches.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 and may not successfully manage our transition to public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expenses and administrative burdens as a public company, which could have an adverse effect on its business,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face increased legal, accounting, administrative, and other costs and expenses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Compliance with public company requirements will increase costs and make certain activities more time-consuming. A number of those requirements will require us to carry out activities that we had not done previously. For example, we have created new board committees, entered into new insurance policies, and adopted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or as executive officers. In addition, as a public company, we may be subject to stockholder activism, which can lead to substantial costs, distract management, and impact the manner in which we operate our business in ways we do not currently anticipate. As a result of disclosure of information in this document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its ability to attract and retain qualified board members.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will be required and, as a result, management’s attention may be diverted from other business concerns.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satisfy our obligations as a public company, we will need to hire qualified accounting and financial personnel with appropriate public company experience.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newly established public company, we will need to improve and maintain effective disclosure and financial controls and make changes in our corporate governance practices. We may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be impacted by the direct costs of their employment and the indirect consequences related to the diversion of management resources from research and development efforts.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it continues to be an emerging growth company, we may choose to take advantage of exemptions from various reporting requirements applicable to other public companies but not to “emerging growth companies,” including:</w:t>
      </w:r>
    </w:p>
    <w:p>
      <w:pPr>
        <w:spacing w:after="0" w:line="162" w:lineRule="exact"/>
        <w:rPr>
          <w:sz w:val="20"/>
          <w:szCs w:val="20"/>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$1.07 billion in annual revenue;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haves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the 2021 Larkspur IPO.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its financial statements may not be comparable with similarly situated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it chooses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We continue to develop and refine our disclosure controls and other procedures that are designed to ensure that information we are required to disclose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these requirements,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 share price of our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became a publicly traded company by means other than a traditional underwritten initial public offering, our stockholders may face additional risks and uncertainties.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became a publicly traded company by means of consummating the Business Combination rather than by means of a traditional underwritten initial public offering, there is no independent third-party underwriter selling the shares of our common stock, and, accordingly, our stockholders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performed a due diligence review and investigation of Old ZyVersa in connection with the Business Combination, the lack of an independent due diligence review and investigation increases the risk of investment in our securities because our due diligence review and investigation may not have uncovered facts that would be important to a potential investor.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we did not become a publicly traded company by means of a traditional underwritten initial public offering, security or industry analysts may not provide, or be less likely to provide, coverage of us. Investment banks may also be less likely to agree to underwrite secondary offerings on behalf of us than they might otherwise be if we became a publicly traded company by means of a traditional underwritten initial public offering because they may be less familiar with us as a result of more limited coverage by analysts and the media. The failure to receive research coverage or support in the market for our common stock could have an adverse effect on our ability to develop a liquid market for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our Common Stock is listed on Nasdaq,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affected by limited trading volume and may fluctuate significantly.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Capital Market. Although an active trading market has developed for our common stock, there can be no assurance that an active trading market for our common stock will be sustained. Failure to maintain an active trading market for our common stock may adversely affect our shareholders’ ability to sell our common stock in short time periods, or at all. Our common stock has experienced, and may experience in the future, significant price and volume fluctuations, which could adversely affect the market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22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approval of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 candidates, if they are approved, and the degree to which such launch and commercialization meets the expectations of securities analysts and investors;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lock-up agreements;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natural disasters or major catastrophic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regardless of our operating performance.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and warrants. Following periods of such volatility in the market price of a company’s securities, securities class action litigation has often been brought against that company.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the potential volatility of the price of our Common Stock, we may become the target of securities litigation in the future. Securities litigation could result in substantial costs and divert management’s attention and resources from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issuance of additional capital stock in connection with financings, acquisitions, investments, our stock incentive plans or otherwise will dilute our stockholders. 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62"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Nasdaq’s continued listing requirements could result in the delisting of our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for trading on The Nasdaq Capital Market. We must satisfy the continued listing requirements of Nasdaq, to maintain the listing of our Common Stock on The Nasdaq Capital Market.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continue to meet all applicable Nasdaq Capital Market requirements in the future and Nasdaq determines to delist our Common Stock, the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8"/>
          <w:szCs w:val="18"/>
          <w:color w:val="auto"/>
        </w:rPr>
        <w:t>We have a history of failing to comply with the continued listing requirements of Nasdaq, although we have successfully cured all the pre-existing deficiency, we may not be able to cure any deficiency timely in the future. On February 5, 2024, we received a letter from the Nasdaq Listing Qualifications Staff (the “Staff”) notifying us that we are not in compliance with Nasdaq Listing Rule 5550(a)(2) (the “Minimum Bid Price Requirement”) because the closing bid price for our common stock was below the minimum $1.00 per share for 30 consecutive business days. On May 13, 2024, the Company received a letter from Nasdaq notifying the Company that it has regained compliance with the Minimum Bid Price Requirement. The Company will be subject to a Mandatory Panel Monitor for a period of one year, or until May 13, 2025, pursuant to Nasdaq Listing Rule 5815(d)(4)(B). If, within that one-year monitoring period, the Company fails to comply with the Minimum Bid Price Requirement, the Staff will not be permitted to grant additional time for the Company to regain compliance with respect to that deficiency, and the Company will not be afforded an applicable cure or compliance period pursuant to Nasdaq Listing Rule 5810(c)(3). Instead, the Staff will issue a delist determination letter and the Company will have an opportunity to request a new hearing with the initial Nasdaq hearings panel or a newly convened hearings panel if the initial panel is unavailable. The Company will have the opportunity to respond and present to the panel as provided by Nasdaq Listing Rule 5815(d)(4)(C). The Company’s common stock may be at that time delisted from Nasdaq.</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believe that we have maintained compliance with the Minimum Bid Price Requirement for continued listing on The Nasdaq Capital Market. However, there can be no assurance that we will be able to maintain compliance with the Minimum Bid Price Requirement or other Nasdaq listing requirements. If we fail to maintain compliance with Nasdaq’s continued listing standards in accordance with the panel’s decision, our common stock will be subject to delisting from Nasdaq.</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Unless our Common Stock continues to be listed on a national securities exchange it will become subject to the so-called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rules that impose restrictive sales practice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maintain the listing of our Common Stock on Nasdaq or another national securities exchange, our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as defined by relevant SEC rules.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This means that if we are unable to maintain the listing of our Common Stock on a national securities exchange, the ability of stockholders to sell their Common Stock in the secondary market could be adversely affected.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assumptions used in preparing the pro forma financial information may not prove to be accurate and other factors may affect our financial condition or results of operations in the future. Any potential decline in our financial condition or results of operations may cause significant variations in our stock price.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2023, we filed an amendment (the “Amendment”) to our current report on Form 8-K/A filed on December 16, 2023 (the “Original 8-K/A”); the Amendment was filed solely to replace entirely the unaudited pro forma condensed combined financial information included on the Original 8-K/A and which was included in our registration statement on Form S-4 relating to the Business combination. The unaudited pro forma condensed combined financial information previously reflected management’s estimates based on information available at the consummation of the Business Combination and was subject to change as additional information became available and analysis was performed. We updated the unaudited pro forma condensed combined financial information upon completion of our analysis to now reflect the Business Combination as a forward merger of Old ZyVersa as it was determined that Old ZyVersa is a variable interest entity. The unaudited pro forma condensed combined financial information and related notes thereto reflects fair value adjustments to the net assets of Old ZyVersa acquired by the Company, which primarily consist of in-process research and development intangible assets which are indefinite-lived. As a result of the changes to the unaudited pro forma condensed combined financial information, we may face potential litigation or other disputes which may include, among other things, litigation involving our shareholders, claims invoking the federal and state securities laws, contractual claims or other claims arising from such changes. As of the date of this document, we have no knowledge of any such claims, litigation or disputes. However, we can provide no assurance that such, claims, litigation or disputes will not arise in the future. Any such claims, litigation or disputes, whether successful or not, could have a material adverse effect on our business,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uncertainties that could affect the market price of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Uncertainty about our business or operations may affect the relationship between us and our respective suppliers, users, distributors, licensors, and licensees. Any such impact may have an adverse effect on us and the market price of our Common Stock. These uncertainties may cause parties that deal with us to seek to change existing business relationships with them and to delay or defer decisions concerning us. Changes to existing business relationships, including termination or modification, could negatively affect each of our revenue, earnings and cash flow, as well as the market price of our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matters may require commitments of time and resources that could otherwise have been devoted to other opportunities that might have been beneficial to us. Further, the Business Combination may give rise to potential liabilities, including as a result of pending and future stockholder lawsuits relating to the Business Combination. Any of these matters could adversely affect our business financial condition or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own a significant percentage of our Common Stock and will be able to exercise significant influence over matters subject to stockholder approval.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directors, executive officers, holders of more than 5% of our outstanding shares of Common Stock and their respective affiliates beneficially own a significant percentage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terminate or alter existing contracts or relationships with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Contracts with distributors, affiliates, landlords, licensors, and other business partners and third parties with which we currently have relationships may have the ability to terminate, reduce the scope of, or otherwise materially adversely alter their relationships with us. The pursuit of such rights may result in us suffering a loss of potential future revenue or incurring liabilities in connection with a breach of such agreements and losing rights that are material to our business. Any such disruptions could limit our ability to achieve the anticipated benefits of our business. The adverse effect of such disruptions could also impact our business and operations or the market price of our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substantial transaction fees and costs in connection with completing the Business Combination and integrating the businesses of Larkspur and Old ZyVersa.</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material non-recurring expenses in connection with the Business Combination and the completion of the transactions contemplated by the Business Combination Agreement and related transaction agreements. While we have assumed that a certain level of expenses would be incurred in connection with the Business Combination, there are many factors beyond our control that have affected and could continue to affect the total amount of, or the timing of, such expenses with respect to our combined business. Additional unanticipated costs may continue to be incurred in the course of conducting our business following the Business Combination.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our business and growth strategy and impact our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the board of directors’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securities or industry analysts may publish about us, our business, our market, or our competitors. If one or more securities analysts initiate research with an unfavorable rating or downgrade our Common Stock, provide a more favorable recommendation about our competitors or publish inaccurate or unfavorable research about our business, our Common Stock price would likely decline. If few securities analysts commence coverage of us, or if one or more of these analysts cease coverage of us, or fail to publish reports on us on a regular basis, we could lose visibility in the financial markets and demand for our securities could decrease, which in turn could cause the price and trading volume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subject to limited exceptions, that the Court of Chancery will be the sole and exclusive forum for certain stockholder litigation matters, which could limit our stockholders’ ability to obtain a chosen judicial forum for disputes with us or our directors, officers, employees or stockholders.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(“Charter”) requires, to the fullest extent permitted by law, that derivative actions brought in our name, actions against directors, officers and employees for breach of fiduciary duty and other similar actions may be brought in the Court of Chancery or, if that court lacks subject matter jurisdiction, another federal or state court situated in the State of Delaware. Any person or entity purchasing or otherwise acquiring any interest in shares of our capital stock shall be deemed to have notice of and consented to the forum provisions in our Charter. In addition, our Charter and amended and restated bylaws will provide that the federal district courts of the United States shall be the exclusive forum for the resolution of any complaint asserting a cause of action under the Securities Act and the Exchange Act. While the exclusive forum provision does not restrict the ability of shareholders to bring claims under the Securities Act, it may limit shareholders’ ability to bring a claim in the judicial forum that they find favorable and may increase certain litigation costs on the shareholders, which may discourage the filing of claims under the Securities Act against us, our directors and officers.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we do not know whether courts in other jurisdictions will agree with this decision or enforce it.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it is uncertain whether this choice of forum provision is enforceable. Section 22 of the Securities Act creates concurrent jurisdiction for federal and state courts over all suits brought to enforce any duty or liability created by the Securities Act or the rules and regulations thereunder. In light of this uncertainty, investors bringing a claim may face certain additional risks, including increased costs and uncertainty of litigation outcomes.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our Charter and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2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act by written consent;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have the express authority to make, alter or repeal our Bylaws.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anti-takeover provisions could make it more difficult or frustrate or prevent a third party from acquiring us, even if the third party’s offer may be considered beneficial by many of our stockholders. Additionally, the provisions may frustrate or prevent any attempts by our stockholders to replace or remove its current management by making it more difficult for stockholders to replace members of our board of directors, which is responsible for appointing the members of its management.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Our Securities</w:t>
      </w:r>
      <w:r>
        <w:rPr>
          <w:rFonts w:ascii="Times New Roman" w:cs="Times New Roman" w:eastAsia="Times New Roman" w:hAnsi="Times New Roman"/>
          <w:sz w:val="18"/>
          <w:szCs w:val="18"/>
          <w:color w:val="auto"/>
        </w:rPr>
        <w:t>” filed as Exhibit 4.8 to this Annual Report on Form 10-K</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Our organizational documents provide that we will indemnify our directors and officers, in each case to the fullest extent permitted by Delaware law.</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General Corporation Law of the State of Delaware (the “DGCL”), our Bylaws and indemnifications agreements entered into with our directors and officers provide that:</w:t>
      </w:r>
    </w:p>
    <w:p>
      <w:pPr>
        <w:spacing w:after="0" w:line="162" w:lineRule="exact"/>
        <w:rPr>
          <w:sz w:val="20"/>
          <w:szCs w:val="20"/>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its directors and officers for serving us in those capacities or for serving other business enterprises at its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 and we are authorized to enter into indemnification agreements with our directors, officers, employees and agents and to obtain insurance to indemnify such persons;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Bylaws provisions to reduce its indemnification obligations to directors, officers, employees and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reverse stock split may decrease the liquidity of the shares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effected a 1-for-35 and a 1-for10 reverse stock split on December 4, 2023, and April 25, 2024, respectively. The liquidity of the shares of our Common Stock may be affected adversely by the reverse stock split given the reduced number of shares that are outstanding following the reverse stock splits. In addition, the reverse stock splits increase the number of stockholders who own odd lots (less than 100 shares) of our Common Stock, creating the potential for such stockholders to experience an increase in the cost of selling their shares and greater difficulty effecting such sales.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a reverse stock split, the resulting market price of our Common Stock may not attract new investors, including institutional investors, and may not satisfy the investing requirements of those investors. Consequently, the trading liquidity of our Common Stock may not improve.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believe that a higher market price of our Common Stock may help generate greater or broader investor interest, there can be no assurance that a reverse stock split, including the 1-for-35 and 1-for-10 reverse stock split we effected on December 4, 2023, and April 25, 2024, respectively,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 The primary intent for the reverse stock splits was that the anticipated increase in the price of our Common Stock immediately following and resulting from a reverse stock split due to the reduction in the number of issued and outstanding shares of Common Stock would help us meet the minimum bid price requirement pursuant to Nasdaq Listing Rules. It cannot be assured that reverse stock splits, will result in any sustained proportionate increase in the market price of our Common Stock, which is dependent upon many factors, including our business and financial performance, general market conditions, and prospects for future success, which are unrelated to the number of shares of our Common Stock outstanding. It is not uncommon for the market price of a company’s common stock to decline in the period following a reverse stock split.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use of information systems for using, transmitting and storing data is a vital aspect of our business operations. Information systems can be vulnerable to a range of cybersecurity threats that could potentially have a material impact on our business strategy, results of operations and financial condition.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a key category within our risk management efforts, and our cybersecurity risk management is intended to assist in assessing, identifying, and managing material risks from cybersecurity threats to the Company’s information systems. Our cybersecurity risk management and strategy is based upon utilizing systems that are cloud based which require multifactor authentication to access. Due to our small size, we partner with a third-party service provider which utilizes multiple security operations centers. The security operations centers maintain, monitor, mitigate and alert on threats against the cloud systems that we utilize. If a risk is identified the security operations center has the ability to shut down access to any user in the organization.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of Directors is responsible for oversight of the Company’s cyber-risk management and management’s role is to assist the Audit Committee in identifying and considering material cybersecurity risks, ensure implementation of management and employee level cybersecurity practices and training and provide the Audit Committee with unrestricted access to Company personnel and documents regarding any cybersecurity attacks or vulnerabilities.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our employees to participate in cybersecurity training and awareness programs. Company’s employees are expected to help safeguard the Company’s information systems and to assist in the discovery and reporting of cybersecurity incidents. These programs are intended to decrease cybersecurity risks associated with human error and foster a culture of cybersecurity consciousness.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risks from cybersecurity threats, including as a result of any previous immaterial cybersecurity incidents, have not materially affected, or are reasonably likely to materially affect our business strategy, results of operations, or financial condition. While our insurance covers certain cybersecurity related matters, the costs related to cybersecurity threats or disruptions may not be fully insured.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2200 North Commerce Parkway, Suite 208, Weston, Florida 33326. On January 18, 2019, we entered into a lease agreement (the “Lease”) for 3,502 square feet of office space located at this facility, with a lease term of 60 months beginning in January 2019 and ending in January 2024. On January 15, 2024, the Company extended the lease for an additional year and on January 9, 2025, the Company extended the lease for an additional year. We believe that our existing facility is adequate for our current needs, but additional office space may be required in connection with any anticipated expansion of our staff.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however, we may from time to time become a party to various legal proceedings arising in the ordinary course of our business. Although the results of litigation and claims cannot be predicted with certainty, as of the date of this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Capital Market under the symbol “ZVSA”. Trading of our common stock commenced on December 12, 2022 in connection with the consummation of our Business Combination. Prior to that time, there was no established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20, 2025, there were approximately 90 holders of record of our common stock. These numbers do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never declared dividends on the Company’s equity securities, and currently does not plan to declare dividends on shares of the Company’s common stock in the foreseeable future. The Company expects to retain future earnings, if any, for use in the operation and expansion of the Company’s business. The payment of cash dividends in the future, if any, will be at the discretion of the board of directors and will depend upon such factors as earnings levels, capital requirements, overall financial condition and any other factors deemed relevant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which have not been previously disclosed in a quarterly report on Form 10-Q or a current report on Form 8-K since January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 to the combined business of ZyVersa Therapeutics, Inc., a Florida corporation, prior to the Business Combination and ZyVersa Therapeutics, Inc., a Delaware corporation, and its consolidated subsidiaries after giving effect to the Business Combination.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this discussion and analysis in conjunction with our consolidated financial statements and notes thereto included elsewhere in this Annual Report. Certain amounts may not foot due to rounding. This discussion and analysis contains forward-looking statements and involves numerous risks and uncertainties, including, but not limited to, those described under “Risk Factors” and “Cautionary Note Regarding Forward-Looking Statements.” We assume no obligation to update any of these forward-looking statements. Actual results may differ materially from those contained in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products for patients with renal or inflammatory diseases with high unmet medical needs.</w:t>
      </w:r>
    </w:p>
    <w:p>
      <w:pPr>
        <w:spacing w:after="0" w:line="16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renal drug candidate, which we refer to as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“2HβCD”), is in development to treat multiple renal indications, with focal segmental glomerulosclerosis (FSGS) as the lead indication. Our anti-inflammatory drug candidate, which we refer to as Inflammasome ASC Inhibitor IC 100, is a humanized monoclonal antibody in development to treat multiple inflammatory diseases, with obesity with certain metabolic complications as the lead indication.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12, 2022 (the “Closing Date”), we consummated the previously announced Business Combination pursuant to the terms of that certain Business Combination Agreement, by and among Old ZyVersa, the representative of Old ZyVersa’s shareholders named therein (the “Securityholder Representative”), Larkspur Health Acquisition Corp., a Delaware corporation (“Larkspur”) and Larkspur Merger Sub, Inc., a Delaware corporation and wholly owned subsidiary of Larkspur (“Merger Sub”). Pursuant to the terms of the Business Combination Agreement (and upon all other conditions of the Business Combination Agreement being satisfied or waived), on the date of the consummation (the “Closing Date”) of the Business Combination and transactions contemplated thereby (the “Business Combination”), (i) Larkspur changed its name to “ZyVersa Therapeutics, Inc.”, a Delaware corporation (the “Company”) and (ii) Merger Sub merged with and into Old ZyVersa (the “Merger”), with Old ZyVersa as the surviving company in the Merger and, after giving effect to such Merger, Old ZyVersa became a wholly-owned subsidiary of the Company.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completion of the Business Combination, the Company was a shell company. Following the Business Combination, the business of Old ZyVersa is the business of the Company. The Company was incorporated in the state of Delaware on March 17, 2021 and its subsidiary, Old ZyVersa, was incorporated on March 11, 2014. Larkspur Merger Sub, Inc. was incorporated in the state of Delaware on July 13,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forward merger of Old ZyVersa under U.S. GAAP, as it was determined that Old ZyVersa was a variable interest entity as of the Closing Date. Under this method of accounting, Old ZyVersa was treated as the “acquired” company for financial reporting purposes, and Larkspur was treated as the accounting acquirer, as it was determined that Larkspur was the primary beneficiary of Old ZyVersa.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$9,413,435 and $98,297,946 for the year ended December 31, 2024 and December 31, 2023 respectively. As of December 31, 2024, we had an accumulated deficit of approximately $112.6 million and cash of $1.5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for review and approval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spacing w:after="0" w:line="180"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includes interest on indebtedness.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220" w:type="dxa"/>
            <w:vAlign w:val="bottom"/>
          </w:tcPr>
          <w:p>
            <w:pPr>
              <w:spacing w:after="0"/>
              <w:rPr>
                <w:sz w:val="19"/>
                <w:szCs w:val="19"/>
                <w:color w:val="auto"/>
              </w:rPr>
            </w:pPr>
          </w:p>
        </w:tc>
        <w:tc>
          <w:tcPr>
            <w:tcW w:w="182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2"/>
          </w:tcPr>
          <w:p>
            <w:pPr>
              <w:spacing w:after="0"/>
              <w:rPr>
                <w:sz w:val="19"/>
                <w:szCs w:val="19"/>
                <w:color w:val="auto"/>
              </w:rPr>
            </w:pPr>
          </w:p>
        </w:tc>
      </w:tr>
      <w:tr>
        <w:trPr>
          <w:trHeight w:val="210"/>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1,779</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3,208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1,429</w:t>
            </w:r>
          </w:p>
        </w:tc>
        <w:tc>
          <w:tcPr>
            <w:tcW w:w="28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11,213</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3,855</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81,438</w:t>
            </w: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81,438</w:t>
            </w:r>
          </w:p>
        </w:tc>
        <w:tc>
          <w:tcPr>
            <w:tcW w:w="28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11,895</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11,895</w:t>
            </w: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09"/>
        </w:trPr>
        <w:tc>
          <w:tcPr>
            <w:tcW w:w="4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98,617</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(107,754)</w:t>
            </w: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98,617</w:t>
            </w:r>
          </w:p>
        </w:tc>
        <w:tc>
          <w:tcPr>
            <w:tcW w:w="28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4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(107,754)</w:t>
            </w: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98,347</w:t>
            </w:r>
          </w:p>
        </w:tc>
        <w:tc>
          <w:tcPr>
            <w:tcW w:w="28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9,456</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(9,462)</w:t>
            </w: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88,885</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approximately $1.8 million for the year ended December 31, 2024, a decrease of approximately $1.4 million or 44.5% from the year ended December 31, 2023. The decrease is primarily attributable to a decrease of $1.4 million in the manufacturing and pre-clinical costs of IC 100 in order to conserve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approximately $7.4 million for the year ended December 31, 2024, a decrease of approximately $3.9 million or 34.4% from the year ended December 31, 2023. The decrease is attributable to a $0.7 million decrease in professional fees due to reduced fees related to changes in public auditors and legal counsel, a $1.1 million decrease due to the 2023 lock up share agreement, a $0.6 million decrease in director and officer insurance due to reduced costs in the second year of being a public company, a $0.4 million decrease in registration delay fees, a $0.4 million decrease in stock-based compensation as a result of options becoming fully amortized in 2024, a $0.4 million decrease due to no employee bonus accrual in 2024, and a $0.1 million decrease in marketing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in-process research and development and Impairment of 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impairment of in-process research and development and impairment of goodwill were $0 compared to $81.4 million and $11.9 million, respectively for the year ended December 31, 2023. The impairment was a result of the decline in stock value and market capitalization of the Company during the year ended December 31, 2023. There was no impairment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approximately $0.3 million for the year ended December 31, 2024, an increase of approximately $0.3 million from the year ended December 31, 2023. The increase is primarily attributable to interest charged by a vendor for outstanding amounts owed.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(Unfavorable)</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(7,560)</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5,953</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5,956</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 cash</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$7.6 million and approximately $8.7 million for the years ended December 31, 2024 and 2023, respectively. For the years ended December 31, 2024 and 2023, the net cash used in operating activities was primarily attributable to the net loss of approximately $9.4 million and $98.3 million, respectively, offset by $0.9 million and $87.0 million, respectively, of net non-cash expenses, and approximately $0.9 million and $2.6 million, respectively, of cash generated by the levels of operating assets and liabilities,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$6.0 million each for the years ended December 31, 2024 and 2023, respectively. Cash provided by financing activities during the year ended December 31, 2024 represented proceeds from the exercise of warrants and at the market stock proceeds. Cash provided by financing activities during the year ended December 31, 2023 primarily represented $10.7 million in cash paid for the redemption of Series A Preferred Stock and $2.4 million in registration and issuance costs associated with common stock issuances. This was partially offset by $18.1 million in proceeds from the issuance of common stock in a public offering and $1.0 million of warrant exercise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current liabilities and working capital deficiency at December 31,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5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80" w:type="dxa"/>
            <w:vAlign w:val="bottom"/>
            <w:tcBorders>
              <w:bottom w:val="single" w:sz="8" w:color="CCEEFF"/>
            </w:tcBorders>
            <w:vMerge w:val="continue"/>
          </w:tcPr>
          <w:p>
            <w:pPr>
              <w:spacing w:after="0"/>
              <w:rPr>
                <w:sz w:val="20"/>
                <w:szCs w:val="20"/>
                <w:color w:val="auto"/>
              </w:rPr>
            </w:pPr>
          </w:p>
        </w:tc>
        <w:tc>
          <w:tcPr>
            <w:tcW w:w="34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11,231</w:t>
            </w:r>
          </w:p>
        </w:tc>
        <w:tc>
          <w:tcPr>
            <w:tcW w:w="3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3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(9,515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2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December 31, 2024, we have not generated any revenue and have incurred significant operating losses and negative cash flows from our operations. Based on our current operating plan, we expect our cash of $1.5 million as of December 31, 2024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the Company’s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the company to continue as a going concern, which contemplates the continuation of operations, realization of assets and liquidation of liabilities in the ordinary course of business. We incurred a net loss of $9.4 million for the year ended December 31, 2024 and a net loss of $98.3 million for the year ended December 31, 2023, and we had an accumulated deficit of $112.6 million at December 31, 2024.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financings will be needed by us to fund our operations, to complete development of and to commercially develop our product candidates. There is no assurance that such financing will be available when needed or on acceptable terms.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2024 that will affect our future liquidity. Based on our current operating plan, we plan to satisfy the obligations identified below from our current cash balance and future financing.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requirements for our current liabilities as of December 31, 2024 include approximately $11.2 million for accounts payable and accrued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cash requirements for long term liabilities at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Needs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cash on hand will enable us to make investments in our continued development of VAR200 and IC100 on a month-to-month basis. We intend to raise additional capital in the future to fund continued development.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on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each product candidate;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ZyVersa expects to use this extended transition period to enable it to comply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Our critical accounting estimates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 and Goodwill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for the impairment of long-lived assets and goodwill whenever events or changes in circumstances indicate that the carrying amount of an asset may not be recoverable. The Company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Company to make assumptions about future cash flows over the life of the asset being evaluated. These assumptions require significant judgment and actual results may differ from assumed and estimated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items within our financial statements that require estimation but are not deemed critical, as defined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are not intended to be a comprehensive list of all of our accounting policies or estimates. Our accounting policies are more fully described in Note 3 – Summary of Significant Accounting Policies, in our financial statements included at the end of this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derivative liabilities, goodwill impairment, in-process research and development,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 and Goodwill</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long-lived assets in accordance with the provisions of ASC 360-10-35, </w:t>
      </w:r>
      <w:r>
        <w:rPr>
          <w:rFonts w:ascii="Times New Roman" w:cs="Times New Roman" w:eastAsia="Times New Roman" w:hAnsi="Times New Roman"/>
          <w:sz w:val="18"/>
          <w:szCs w:val="18"/>
          <w:i w:val="1"/>
          <w:iCs w:val="1"/>
          <w:color w:val="auto"/>
        </w:rPr>
        <w:t>Property, Plant and Equipment, Impairment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Long-lived Assets</w:t>
      </w:r>
      <w:r>
        <w:rPr>
          <w:rFonts w:ascii="Times New Roman" w:cs="Times New Roman" w:eastAsia="Times New Roman" w:hAnsi="Times New Roman"/>
          <w:sz w:val="18"/>
          <w:szCs w:val="18"/>
          <w:color w:val="auto"/>
        </w:rPr>
        <w:t>. This accounting standard requires that long-lived assets be reviewed for impairment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 may not be recoverable. Recoverability of assets to be held and used is measured by a comparison of the carrying amount of an asset to future undiscounted net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goodwill and intangible assets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Goodwill represents the excess of the purchase price of an entity over the estimated fair value of the assets acquired and liabilities assumed. ASC 350 requires that goodwill and other intangibles with indefinite lives be tested for impairment annually or on an interim basis if events or circumstances indicate that the fair value of an asset has decreased below its carrying value.</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whether a quantitative assessment is required, the Company will evaluate relevant events or circumstances to determine whether it is more likely than not that the fair value of a reporting unit is less than its carrying amount. If, after performing the qualitative assessment, an entity concludes that it is more likely than not that the fair value of a reporting unit is less than its carrying amount, the entity would perform the quantitative impairment test described in ASC 350. However, if, after applying the qualitative assessment, the entity concludes that it is not more than likely that the fair value is less than the carrying amount, the quantitative impairment test is not required. The Company bases these assumptions on its historical data and experience, industry projections, micro and macro general economic condition projections, and its expectations.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financial assets and liabilities based on ASC 820 “Fair Value Measurements and Disclosures” (“ASC 820”), which defines fair value, establishes a framework for measuring fair value, and expands disclosures about fair value measurements.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such as cash, accounts payable and deposits approximate fair values due to the short-term nature of these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items that have been included or excluded in the financial statements or tax returns. Deferred tax assets and liabilities are determined on the basis of the difference between the tax basis of assets and liabilities and their respective financial reporting amounts (“temporary differences”) at enacted tax rates in effect for the years in which the temporary differences are expected to reverse. Deferred tax assets are reduced by a valuation allowance to the extent management concludes it is more likely than not that the assets will not be realized. The effect on deferred tax assets and liabilities of a change in tax rates is recognized in the statements of operations in the period that includes the enactment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a recognition threshold and measurement process for financial statement recognition and measurement of a tax position taken or expected to be taken in a tax return.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all direct and indirect costs associated with the development of our product candidates. These expenses include payments to third parties for research, development and manufacturing services, personnel costs and depreciation on manufacturing equipment. At the end of the reporting period, we compare payments made to third party service providers to the estimated progress toward completion of the research or development objectives. Such estimates are subject to change as additional information becomes available. Depending on the timing of payments to service providers and the progress that we estimate have been made as a result of the service provided, we may record net prepaid or accrued expense relating to these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Stock Options and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cost of services received in exchange for an award of equity instruments based on the fair value of the award. The fair value of the award is measured on the grant date. The fair value amount is then recognized over the period during which services are required to be provided in exchange for the award, usually the vesting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computed the fair value of stock options and warrants granted using the Black-Scholes option pricing model. Option forfeitures are accounted for at the time of occurrence. Common stock will be valued using the market approach using the trading prices of the common stock on the Nasdaq Capital Market. The expected term used for options is the estimated period of time that options granted are expected to be outstanding. The expected term used for warrants is the contractual life. The Company utilizes the “simplified” method to develop an estimate of the expected term of “plain vanilla” option grants. The Company did not have a public trading history for the common shares to support its historical volatility calculations until December 13, 2022. Accordingly, the Company is utilizing an expected volatility figure based on a review of the historical volatility of six comparable entities over a period of time equivalent to the expected life of the instrument being valued. The risk-free interest rate was determined from the implied yields from U.S. Treasury zero-coupon bonds with a remaining term consistent with the expected term of the instrument being valued.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Segments Disclosures (Topic 280), which updates reportable segment disclosure requirements, primarily through enhanced disclosures about significant segment expenses on both an annual and interim basis. The guidance becomes effective for fiscal years beginning after December 15, 2023 and interim periods within fiscal years beginning after December 15, 2024, with early adoption permitted. Since this new ASU addresses only disclosures, this ASU did not have any material effects on its financial condition, results of operations or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intangible asset amortization and depreciation, depletion, and amortization recognized as part of oil and gas- producing activities.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found on pages F-1 through F-28 following the Exhibit Index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2024. Based upon their evaluation, our Chief Executive Officer and Chief Financial Officer concluded that our disclosure controls and procedures (as defined in Rules 13a-15(e) and 15d-15(e) under the Exchange Act) were ineffective.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are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2024, based on the Internal Control-Integrated Framework (2013) issued by the Committee of Sponsoring Organizations of the Treadway Commission (COSO) (2013 Framework). Based on this evaluation, management concluded that our internal control over financial reporting was ineffective as of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management’s conclusion was based on the following material weakness which existed as of December 31, 2024 and 2023:</w:t>
      </w:r>
    </w:p>
    <w:p>
      <w:pPr>
        <w:spacing w:after="0" w:line="225" w:lineRule="exact"/>
        <w:rPr>
          <w:sz w:val="20"/>
          <w:szCs w:val="20"/>
          <w:color w:val="auto"/>
        </w:rPr>
      </w:pPr>
    </w:p>
    <w:p>
      <w:pPr>
        <w:ind w:left="1340" w:right="20" w:hanging="671"/>
        <w:spacing w:after="0" w:line="282"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controls across the entity’s financial reporting processes were not effectively designed and implemented to properly address the risk of material misstatement, including controls without proper segregation of duties between preparer and reviewer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on a timely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 as described above, we believe that the financial statements in the December 31, 2024 Form 10-K fairly present, in all material respects, our financial position, results of operations and cash flows as of the dates, and for the periods presented, in conformity with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implemented additional controls to address the material weakness identified as of December 31, 2024. This includes the implementation of proper segregation of duties controls between preparer and reviewer. However, the material weakness will not be deemed to be remediated until the</w:t>
      </w:r>
    </w:p>
    <w:p>
      <w:pPr>
        <w:sectPr>
          <w:pgSz w:w="11900" w:h="16927" w:orient="portrait"/>
          <w:cols w:equalWidth="0" w:num="1">
            <w:col w:w="11240"/>
          </w:cols>
          <w:pgMar w:left="320" w:top="684" w:right="339" w:bottom="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controls have been operational for a period of time and have been verified to be operating effectively.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74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Stephen C. Glover</w:t>
            </w:r>
          </w:p>
        </w:tc>
        <w:tc>
          <w:tcPr>
            <w:tcW w:w="120" w:type="dxa"/>
            <w:vAlign w:val="bottom"/>
          </w:tcPr>
          <w:p>
            <w:pPr>
              <w:spacing w:after="0"/>
              <w:rPr>
                <w:sz w:val="17"/>
                <w:szCs w:val="17"/>
                <w:color w:val="auto"/>
              </w:rPr>
            </w:pPr>
          </w:p>
        </w:tc>
        <w:tc>
          <w:tcPr>
            <w:tcW w:w="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7"/>
                <w:szCs w:val="17"/>
                <w:color w:val="auto"/>
              </w:rPr>
            </w:pPr>
          </w:p>
        </w:tc>
        <w:tc>
          <w:tcPr>
            <w:tcW w:w="7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President and Chairman</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A. Cashmere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Wolfe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Pablo A. Guzman, M.D.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 and Senior Vice President of Medical Affairs</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 Finizio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 Chul Park, Ph.D.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Sapirstein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Freitag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Stephen C. Glover</w:t>
      </w:r>
      <w:r>
        <w:rPr>
          <w:rFonts w:ascii="Times New Roman" w:cs="Times New Roman" w:eastAsia="Times New Roman" w:hAnsi="Times New Roman"/>
          <w:sz w:val="18"/>
          <w:szCs w:val="18"/>
          <w:color w:val="auto"/>
        </w:rPr>
        <w:t>. Mr. Glover is one of our co-founders and has served as our Chief Executive Officer, President and Chairman since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Glover served as Chief Executive Officer and President of Old ZyVersa from March 2014 to December 2022, a member of the board of directors from March 2014 to September 2021, and Chairman from September 2021 to December 2022. Mr. Glover is formerly the Co-Founder of Coherus Biosciences where he was focused on business strategy, partnerships, product development efforts, and capitalization of the company. Prior to Coherus, he was the President of Insmed Therapeutic Proteins (from 2007 to 2010), as well as Chief Business Officer of Insmed Incorporated (from 2007 to 2010). At Insmed, Mr. Glover was responsible for the creation of the biosimilar business unit and the divestiture of the business to Merck. As Chief Business Officer he led Insmed’s strategic review process which resulted in the merger of Insmed and Transave. Mr. Glover received his B.S. in Marketing from Illinois State University. Mr. Glover has multifaceted experience in Fortune 100, start up, and entrepreneurial environments and he serves on the board of PDS Biotechnology, The Coulter Foundation (University of Miami) and Asclepius Lifesciences. Mr. Glover was selected to serve on our board of directors based on his extensive experience in the therapeutics industry, his deep knowledge of ZyVersa and his ongoing experience as a board member of other life sciences companies. Mr. Glover was appointed to our board of directors by ZyVersa pursuant to the Business Combination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Karen A. Cashmere</w:t>
      </w:r>
      <w:r>
        <w:rPr>
          <w:rFonts w:ascii="Times New Roman" w:cs="Times New Roman" w:eastAsia="Times New Roman" w:hAnsi="Times New Roman"/>
          <w:sz w:val="18"/>
          <w:szCs w:val="18"/>
          <w:color w:val="auto"/>
        </w:rPr>
        <w:t>. Ms. Cashmere has served as our Chief Commercial Officer since December 2022. Ms. Cashmere served in the same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Old ZyVersa from January 2019 to December 2022, and as Acting Vice President, Development and Marketing from August 2014 to January 2019. Ms. Cashmere has more than 25 years’ experience in business planning and execution for biopharmaceutical and medical device companies ranging in size from start-up to Fortune 100 companies. She formerly led the Marketing Communications function at Mako Surgical Corporation, an emerging robotic orthopedics company, where she was responsible for creating awareness and driving sales of Robotic Arm Systems priced at over $1 million each and their associated implants for partial knee and total hip arthroplasty.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Wolfe. </w:t>
      </w:r>
      <w:r>
        <w:rPr>
          <w:rFonts w:ascii="Times New Roman" w:cs="Times New Roman" w:eastAsia="Times New Roman" w:hAnsi="Times New Roman"/>
          <w:sz w:val="18"/>
          <w:szCs w:val="18"/>
          <w:color w:val="auto"/>
        </w:rPr>
        <w:t>Mr. Wolfe has served as our Chief Financial Officer and Secretary since December 2022. Mr. Wolfe served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Administration at Old ZyVersa from 2019 to December 2022, and prior to that had served as Vice President of Finance from October 2015 to 2019. Mr. Wolfe has spent his career in various financial roles in the financial services, specialty finance, and the pharmaceutical/healthcare industries. Most recently Mr. Wolfe has spent his time cultivating start-up organizations in various healthcare entities, often dealing with complicated business models to develop a financial framework for success for many of these first of their kind businesses. Mr. Wolfe has spent the last 24 years of his career in the healthcare industry with one fourth of that time spent at Kos Pharmaceuticals, a publicly traded, fully-integrated specialty pharmaceutical company. Mr. Wolfe has his BBA from the University of Miami and his MBA from the University of Pittsburgh.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Pablo A. Guzman, M.D. </w:t>
      </w:r>
      <w:r>
        <w:rPr>
          <w:rFonts w:ascii="Times New Roman" w:cs="Times New Roman" w:eastAsia="Times New Roman" w:hAnsi="Times New Roman"/>
          <w:sz w:val="18"/>
          <w:szCs w:val="18"/>
          <w:color w:val="auto"/>
        </w:rPr>
        <w:t>Dr. Guzman has served as our Chief Medical Officer and Senior Vice President of Medical Affairs since January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that, he was a consultant with us beginning January 2015. Since 2017, Dr. Guzman has served on the Scientific Advisory Board at Therapeutic Solutions International, Inc., a company focused on immune modulation. He received his Bachelor’s degree in Biology from St Peter’s University in Jersey City in 1971, his Medical Degree from the University of Puerto Rico School of Medicine in 1975, and his Interventional Cardiology Fellowship at The Johns Hopkins Hospital in Baltimore in 1980. He is Board certified in Internal Medicine (1978) and Cardiovascular Diseases (1981). He joined the staff at Johns Hopkins in 1980 and his duties included patient care, teaching, and both clinical and basic science research in the dog lab. He has over 30 articles in peer reviewed journals and many abstracts, some of them presented in national meetings including the American Heart Association and the American College of Cardiology. Dr. Guzman sits on the Board of Trustees at Holy Cross Health, a member of Trinity Health since 2015. He sits on the Scientific Advisory Board of Campbell Neurosciences Inc. and Therapeutics Solutions International.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Robert G. Finizio</w:t>
      </w:r>
      <w:r>
        <w:rPr>
          <w:rFonts w:ascii="Times New Roman" w:cs="Times New Roman" w:eastAsia="Times New Roman" w:hAnsi="Times New Roman"/>
          <w:sz w:val="18"/>
          <w:szCs w:val="18"/>
          <w:color w:val="auto"/>
        </w:rPr>
        <w:t>. Mr. Finizio has served as a member of our board of directors since December 2022. Mr. Finizio served in the same capacity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Old ZyVersa from September 2018 to December 2022. Mr. Finizio is currently the Executive Director of PleoPharma a, pharmaceutical development company focused on finding safe and effective FDA approved treatments for substance use disorders where therapies are lacking. Mr. Finizio is the Co-Founder of TherapeuticsMD Inc., an innovative women’s health pharmaceutical company, and served as its Chief Executive Officer and Director from 2008 to November 2021. Mr. Finizio has over 20 years of healthcare experience. Mr. Finizio sits on the board of directors for two non-profit organizations, BioFlorida and the Boca Raton Police Foundation. Mr. Finizio graduated from the University of Miami with a Bachelor of Arts degree majoring in Premed and Psychology. Mr. Finizio was selected to serve on our board of directors based on his extensive experience with early-stage company development in the healthcare industry. Mr. Finizio was appointed to our board of directors by ZyVersa pursuant to the Business Combination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Min Chul Park, Ph.D</w:t>
      </w:r>
      <w:r>
        <w:rPr>
          <w:rFonts w:ascii="Times New Roman" w:cs="Times New Roman" w:eastAsia="Times New Roman" w:hAnsi="Times New Roman"/>
          <w:sz w:val="18"/>
          <w:szCs w:val="18"/>
          <w:color w:val="auto"/>
        </w:rPr>
        <w:t>. Dr. Park has served as a member of our board of directors since December 2022. Mr. Park served in the same capacity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Old ZyVersa from May 2021 to December 2022. Dr. Park is an Assistant Professor at Inje University’s College of Pharmacy. Dr. Park was formerly the Chief Executive Officer, and Director of Curebio Therapeutics, a biopharmaceutical company in Seoul, Korea, which develops peptide drugs for cancer, alopecia, and wound care, from October 2020 to April 2022. Dr. Park also served as Executive Vice President, CTO, and Director of Curebio from August 2017 to March 2022. Dr. Park served as an Adjust Professor at Korea University’s Department of Pharmacy from March 2019 to February 2022. With 10 years in the pharmaceutical industry, Dr. Park has worked in the field of drug target discovery, assay development, and drug candidate optimization. He has expertise in basic and applied molecular and cellular biology. In his former role at Curebio Therapeutics, Dr. Park led financing and business development deals, including co-development agreements with three pharmaceutical companies, and one in-license deal. Additionally, he developed cosmetic peptides, and he co-developed antibodies, circulating tumor cell-based diagnostics, and a cancer stem cell assay system. Additionally, Dr. Park is a co-founder of TME Therapeutics, Co. and is currently on its Scientific Advisory Board. Until 2017, Dr. Park was CEO and Director at Neomics Co. in Seoul, Korea, where he helped expand the contract experiment and biomaterial business, and he led efforts to merge Neomics with Curebio and Bumyoung Bio Co., Ltd to form Curebio. Dr. Park developed cosmetic peptides, and a dermatology peptide drug candidate that he out-licensed. Dr. Park began his career as a Senior Research Associate at Medicinal Bioconvergence Research Center at Seoul National University, where he developed and led an out-licensing deal for an exosome isolation device, and he was responsible for two out-licensing deals for an anti-tumorigenic peptide. Dr. Park obtained his Ph.D. in pharmaceutical bioscience at the Seoul National University, Department of Pharmacy. Dr. Park was selected to serve on our board of directors based on his in-depth knowledge of the pharmaceutical industry and drug development technology. Dr. Park was appointed to our board of directors by ZyVersa pursuant to the Business Combination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James Sapirstein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James Sapirstein has served as a member of our board of directors since January 2023. Mr. Sapirstein is currently the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Onconetix, Inc (ONCO:NASDAQ). He served as Chairman and CEO of Entero Therapeutics (ENTO:NASDAQ) from October 2019 until February 2025. Mr. Sapirstein served as Chief Executive Officer of Contravir Pharmaceuticals from March 2014 until October 2018. All of these are publicly listed companies. Mr. Sapirstein has raised over $600 Million dollars in venture capital and public capital markets financing in his various engagements as Chief Executive Officer. He was named as a Finalist for the Ernst &amp; Young Entrepreneur of the Year award in 2015 as well as in 2016. He was Chairman of the Board for BioNJ, an association of biopharma industries in New Jersey from February 2017 to February 2019. In addition, he is a member of the Board of Directors for BIO (Biotechnology Innovation Organization), the leading biotechnology trade organization promoting public policy and networking in the healthcare space, where he sits on the Emerging Companies Section Governing Board and Health Section Board. Mr. Sapirstein was selected to serve as a member of the Board because of his extensive experience as an executive in the biotech and pharmaceutical sectors and as a director for multiple public companies in such sectors.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Gregory Freitag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Gregory Freitag has served as a member of our board of directors since January 2023. Mr. Freitag is currently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of PDS Biotechnology Corporation (NASDAQ: PDSB), a clinical-stage immunotherapy company developing a growing pipeline of targeted cancer and infectious disease immunotherapies based on its proprietary Veramune and Infectimune T cell-activating platforms. He served from February 2011 until June 2024 as a member of the board of directors of Axogen, Inc. (NASDAQ: AXGN), a leading regenerative medicine company dedicated to peripheral nerve repair. Mr. Freitag was Axogen’s Special Counsel from June 2020 until March 2021, General Counsel from September 2011 until June 2020, Chief Financial Officer from September 2011 until May 2014 and August 2015 until March 2016, and Senior Vice President Business Development from May 2014 until October 2018. Mr. Freitag holds a J.D. from the University of Chicago and a B.A. in Economics &amp; Business and Law &amp; Society from Macalester College, Minnesota. Mr. Freitag was selected to serve on the Board and as the chair of the Company’s Audit Committee because of his proven leadership and experience as a senior-level executive, his particular knowledge of public companies, including reporting, compliance and financial markets related thereto, his finance management and legal expertise, his former position as a public company chief financial officer and over 30 years of experience in the life sciences sector.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between the officers and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has, during the past ten years, been involved in any legal proceedings which are required to be disclosed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Specific due dates for these reports have been established, and the Company is required to report any failure to comply therewith during the fiscal year ended December 31, 2024. During fiscal year ended December 31, 2024, each of Messrs. Finizio, Sapirstein, Freitag, Park, Glover, and Wolfe and Ms. Cashmere filed one late Form 4 with respect to one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a review of the reports filed electronically with the SEC during the Company’s most recent fiscal year and, where applicable, written representations that no other reports were required, we believe that all other Section 16(a) filing requirements applicable to our executive officers, directors and greater than 10% beneficial owners were complied with in a timely manner during fiscal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business conduct that applies to all of our directors, officers and employees, including its principal executive officer, principal financial officer and principal accounting officer, which is available on the Company’s website. The Company’s code of business conduct is a “code of ethics,” as defined in Item 406(b) of Regulation S-K. Please note that the Company’s Internet website address is provided as an inactive textual reference only. The Company will make any legally required disclosures regarding amendments to, or waivers of, provisions of its code of ethics on its corporate website.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consists of Gregory Freitag, serving as the chairperson, Robert G. Finizio, and James Sapirstein. Our board of directors has determined that each member of the audit committee qualifies as an independent director under applicable Nasdaq Listing Rules meets the independence requirements of Rule 10A-3 under the Exchange Act, and Mr. Frietag qualifies as an “audit committee financial expert,” as that term is defined in Item 407(d)(5) of Regulation S-K. The purpose of the audit committee is to prepare the audit committee report required by the SEC to be included in any proxy statement or prospectus required to be filed by the Company under the rules and regulations of the SEC and to assist our board of directors in overseeing and monitoring (1) the quality and integrity of the financial statements; (2) compliance with legal and regulatory requirements; (3) the Company’s independent registered public accounting firm’s qualifications and independence; (4) the performance of the Company’s internal audit function, if any; and</w:t>
      </w:r>
    </w:p>
    <w:p>
      <w:pPr>
        <w:spacing w:after="0" w:line="3" w:lineRule="exact"/>
        <w:rPr>
          <w:sz w:val="20"/>
          <w:szCs w:val="20"/>
          <w:color w:val="auto"/>
        </w:rPr>
      </w:pPr>
    </w:p>
    <w:p>
      <w:pPr>
        <w:ind w:right="20" w:firstLine="8"/>
        <w:spacing w:after="0" w:line="260" w:lineRule="auto"/>
        <w:tabs>
          <w:tab w:leader="none" w:pos="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independent registered public accounting firm. Our board of directors has adopted a written charter for the audit committee, which is available free of charge on our corporate website (</w:t>
      </w:r>
      <w:r>
        <w:rPr>
          <w:rFonts w:ascii="Times New Roman" w:cs="Times New Roman" w:eastAsia="Times New Roman" w:hAnsi="Times New Roman"/>
          <w:sz w:val="18"/>
          <w:szCs w:val="18"/>
          <w:i w:val="1"/>
          <w:iCs w:val="1"/>
          <w:color w:val="auto"/>
        </w:rPr>
        <w:t>www.zyversa.com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an Insider Trading Policy that prohibit directors and employees from engaging in short sales of the Company’s securities; purchases or sales of puts, calls, or other derivative securities based on the Company’s securities; or purchases of financial instruments (including prepaid variable forward contracts, equity swaps, collars and exchange funds) that are designed to hedge or offset any decrease in the market value of Company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Insider Trading Policy also prohibits directors and employees from purchasing Company securities on margin, borrowing against Company securities held in a margin account, or pledging Company securities as collateral for a loan, subject to an exception for pledging Company securities as collateral for a loan (other than a margin loan) if the director or employee clearly demonstrates the financial capacity to repay the loan without resort to the pledged securities and upon approval by our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Compensation Table sets forth information regarding the compensation paid to, awarded to, or earned by our principal executive officer and certain other executive officers in 2024 and 2023 for services rendered in all capacities to us and our subsidiaries during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5"/>
                <w:szCs w:val="15"/>
                <w:b w:val="1"/>
                <w:bCs w:val="1"/>
                <w:color w:val="auto"/>
              </w:rPr>
              <w:t>(1)</w:t>
            </w:r>
          </w:p>
        </w:tc>
        <w:tc>
          <w:tcPr>
            <w:tcW w:w="3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40" w:type="dxa"/>
            <w:vAlign w:val="bottom"/>
          </w:tcPr>
          <w:p>
            <w:pPr>
              <w:spacing w:after="0"/>
              <w:rPr>
                <w:sz w:val="20"/>
                <w:szCs w:val="20"/>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9"/>
        </w:trPr>
        <w:tc>
          <w:tcPr>
            <w:tcW w:w="3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Stephen C. Glover</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r>
      <w:tr>
        <w:trPr>
          <w:trHeight w:val="196"/>
        </w:trPr>
        <w:tc>
          <w:tcPr>
            <w:tcW w:w="33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Co-Founder, Chief Executive Officer,</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Chairman</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225,000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218,217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993,217</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Wolfe</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395,000</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82,500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95,859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573,359</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Pablo A. Guzman, M.D.</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350,000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196"/>
        </w:trPr>
        <w:tc>
          <w:tcPr>
            <w:tcW w:w="33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 Medical Officer and Senior Vice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of Medical Affairs</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320,833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185,367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506,200</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under our 2022 Omnibus Equity Incentive Plan and 2014 Equity Incentive Plan in the years ended December 31, 2024 and December 31, 2023 respectively, calculated in accordance with FASB ASC Topic 718. See Note 9 to our financial statements for the assumptions used in calculating the grant date fair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Stephen C. Glover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September 13, 2022, we entered into an executive employment agreement with Stephen C. Glover (the “Glover Agreement”), which provides that Mr. Glover’s employment is conditioned upon, among other things, his agreement and execution of a Proprietary Information &amp; Restrictive Covenant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Glover Employment Agreement, Mr. Glover serves as our Chairman, President, and Chief Executive Officer and receives a base salary of $550,000 annually, subject to our standard payroll practices. Mr. Glover’s base salary and future increases in compensation are subject to periodic review and approval by the board of directors. In addition, Mr. Glover is eligible to receive an annual performance-based cash bonus of up to fifty-five percent (55%) of Mr. Glover’s base salary, the exact amount of which is subject to review and determination by the board of directors, based upon Mr. Glover’s achievement of certain performance goals. Mr. Glover’s receipt of an annual bonus is also contingent upon Mr. Glover’s continued employment with us at the time such bonus is to be paid, otherwise the annual bonus is forfeited. In addition, pursuant to the terms of the Glover Employment Agreement, Mr. Glover may be eligible for certain grants of equity awards of our common stock, subject to vesting and other terms and conditions of our equity plan to which the award is granted and an agreement to be provided by us and entered into with Mr. Glover. Mr. Glover is also eligible to participate on the same basis as similarly situated employees in our benefit plans in effect from time during his employment.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Glover Employment Agreement, we may terminate Mr. Glover’s employment at any time without Cause (as that term is defined in the New Glover Agreement) upon 10 days’ advance written notice to Mr. Glover. Provided Mr. Glover has not previously been notified of our intention to terminate his employment, Mr. Glover may resign from his employment with us for Good Reason (as that term is defined in the Glover Employment Agreement) upon 60 days’ advance written notice to us, upon which notice we have 30 days to cure the conditions that Mr. Glover considers to be Good Reason, subject to certain conditions set forth in the Glover Employment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Mr. Glover resigns for Good Reason or Mr. Glover’s employment is terminated without Cause, and, in each case, such resignation or termination constitutes a Separation from Service (as defined in the Glover Employment Agreement), then Mr. Glover shall be entitled to receive the Accrued Obligations (as defined in the Glover Employment Agreement) and, subject to Mr. Glover’s compliance with his obligations under the Glover Employment Agreement, the following severance benefits: (i) payment of an amount equal to Mr. Glover’s then current base salary for 24 months, paid in equal instalments; (ii) payment of an amount equal to any unpaid bonus earned for the year preceding Mr. Glover’s Separation from Service; (iii) payment of an amount equal to the greater of (A) the bonus paid for the performance year ending prior to Mr. Glover’s Separation from Service, and (B) the bonus that Mr. Glover would have earned for the performance year in which such Separation from Service occurs, in each case prorated for the period of Mr. Glover’s employment through the Separation of Service date; (iv) immediate vesting of any equity awards issued to Mr. Glover that are outstanding as of the date of Mr. Glover’s Separation of Service; and (iv) provided that Mr. Glover timely elects continued group health plan coverage under the Consolidated Omnibus Budget Reconciliation Act (“COBRA”), reimbursement for certain COBRA health benefits for up to 18 months, subject in each case to the terms and conditions of the Glover Employment Agreement and applicable laws and regulations.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above, if we (or any surviving or acquiring corporation) terminate Mr. Glover’s employment without Cause or Mr. Glover resigns for Good Reason within 90 days before and 24 months following the effective date of a Change of Control (as defined in the Glover Employment Agreement), then Mr. Glover will be entitled to receive the Accrued Obligations and, subject to Mr. Glover’s compliance with his obligations under the Glover Employment Agreement, the same severance benefits that Mr. Glover would receive if he had resigned for Good Reason or his employment terminated without Cause, except that Mr. Glover will receive a bonus in an amount equal to fifty-five percent (55%) of Mr. Glover’s base salary in lieu of the amount set forth in (iii) in the above paragraph; provided however, that if the Change in Control is a change in ownership of a corporation, a change in the effective control of a corporation, or a change in ownership of a substantial portion of a corporation’s assets, the cumulative amount of the severance payments payable (or remaining payable) for such termination or resignation shall be paid in a single lump sum on or within 30 days following such Change in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Glover Employment Agreement, we may terminate Mr. Glover’s employment at any time for Cause upon 10 days’ advance written notice to Mr. Glover. In the event Mr. Glover’s employment is terminated at any time for Cause, Mr. Glover will not receive any severance compensation or benefits, except that, pursuant to our standard payroll policies, we shall pay to Mr. Glover the Accrued Obligations. Mr. Glover may resign from his employment with us at any time upon not less than 30 days’ advance written notice to us of such resignation. In the event Mr. Glover resigns from employment with us for any reason (other than a resignation for Good Reason), Mr. Glover will not receive any severance compensation or benefits, except that we shall pay and provide the Accrued Obligations.</w:t>
      </w:r>
    </w:p>
    <w:p>
      <w:pPr>
        <w:spacing w:after="0" w:line="18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Mr. Glover’s entitlement to receive certain severance benefits is conditioned upon, among other things, his obligation to sign and deliver an effective Release (as that term is defined in the New Glover Agreement) in a form acceptable to us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termination or such earlier date as set forth in the Release.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Peter Wolfe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September 13, 2022, we entered into an executive employment agreement with Peter Wolfe (the “Wolfe Employment Agreement”) which , provides that Mr. Wolfe’s employment is conditioned upon, among other things, his agreement and execution of a Proprietary Information &amp; Restrictive Covenant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Wolfe Employment Agreement, Mr. Wolfe serves as our Chief Financial Officer and receives a base salary of $395,000 annually, subject to our standard payroll practices. Mr. Wolfe’s base salary and future increases in compensation are subject to periodic review and approval by the board of directors. In addition, Mr. Wolfe is eligible to receive an annual performance-based cash bonus of up to forty percent (40%) of Mr. Wolfe’s base salary, the exact amount of which is subject to review and determination by the board of directors, based upon Mr. Wolfe’s achievement of certain performance goals. Mr. Wolfe’s receipt of an annual bonus is also contingent upon Mr. Wolfe’s continued employment with us at the time such bonus is to be paid, otherwise the annual bonus is forfeited. In addition, pursuant to the terms of the Wolfe Employment Agreement, Mr. Wolfe may be eligible for certain grants of equity awards of our common stock, subject to vesting and other terms and conditions of our equity plan to which the award is granted and an agreement to be provided by us and entered into with Mr. Wolfe. Mr. Wolfe is also eligible to participate on the same basis as similarly situated employees in our benefit plans in effect from time during his employment.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Wolfe Employment Agreement, we may terminate Mr. Wolfe’s employment at any time without Cause (as that term is defined in the Wolfe Employment Agreement) upon written notice to Mr. Wolfe. Provided Mr. Wolfe has not previously been notified of our intention to terminate his employment, Mr. Wolfe may resign from his employment with us for Good Reason (as that term is defined in the Wolfe Employment Agreement) upon 30 days’ advance written notice to us, upon which notice we have 30 days to cure the conditions that Mr. Wolfe considers to be Good Reason, subject to certain conditions set forth in the Wolfe Employment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Mr. Wolfe resigns for Good Reason or Mr. Wolfe’s employment is terminated without Cause, and, in each case, such resignation or termination constitutes a Separation from Service (as defined in the Wolfe Employment Agreement), then Mr. Wolfe shall be entitled to receive the Accrued Obligations (as defined in the Wolfe Employment Agreement) and, subject to Mr. Wolfe’s compliance with his obligations under the Wolfe Employment Agreement, the following severance benefits: (i) payment of an amount equal to Mr. Wolfe’s then current base salary for 12 months paid in equal instalments; (ii) payment of an amount equal to any unpaid bonus earned for the year preceding Mr. Wolfe’s Separation from Services; and (iii) provided that Mr. Wolfe timely elects continued group health plan coverage under COBRA, reimbursement for certain COBRA health benefits for up to 12 months, subject in each case to the terms and conditions of the Wolfe Employment Agreement and applicable laws and regulations.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above, if we (or any surviving or acquiring corporation) terminate Mr. Wolfe’s employment without Cause or Mr. Wolfe resigns for Good Reason within 90 days before and 24 months following the effective date of a Change of Control (as defined in the Wolfe Employment Agreement), then Mr. Wolfe will be entitled to receive the Accrued Obligations and, subject to Mr. Wolfe’s compliance with his obligations under the Wolfe Employment Agreement, the same severance benefits that Mr. Wolfe would receive if he had resigned for Good Reason or his employment terminated without Cause; provided, however, that if the Change in Control is a change in ownership of a corporation, a change in the effective control of a corporation, or a change in ownership of a substantial portion of a corporation’s assets, the cumulative amount of the severance payments payable (or remaining payable) for such termination shall be paid in a single lump sum on or within 30 days following such Change in Control. In addition, Mr. Wolfe will be entitled to (i) receive a bonus equal to forty percent (40%) of Mr. Wolfe’s then base salary, and (ii) an immediate vesting of any equity awards issued to Mr. Wolfe that are outstanding as of the closing of such Change in Control, provided that they are assumed or continued (in accordance with their terms) by the surviving entity in such Change in Control.</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Wolfe Employment Agreement, we may terminate Mr. Wolfe’s employment at any time for Cause upon a 10 days’ advance written notice to Mr. Wolfe. In the event Mr. Wolfe’s employment is terminated at any time for Cause, Mr. Wolfe will not receive any severance compensation or benefits, except that, pursuant to our standard payroll policies, we shall pay to Mr. Wolfe the Accrued Obligations. Mr. Wolfe may resign from his employment with us at any time upon not less than 30 days’ advance written notice to us of such resignation. In the event Mr. Wolfe resigns from employment with us for any reason (other than a resignation for Good Reason), Mr. Wolfe will not receive or any severance compensation or benefits, except that we shall pay and provide the Accrued Obligations.</w:t>
      </w:r>
    </w:p>
    <w:p>
      <w:pPr>
        <w:spacing w:after="0" w:line="18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Mr. Wolfe’s entitlement to receive certain severance benefits is conditioned upon, among other things, his obligation to sign and deliver an effective Release (as that term is defined in the Wolfe Employment Agreement) in a form acceptable to us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termination or such earlier date as set forth in the Release.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Pablo A. Guzman, M.D.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26, 2023, we entered into an executive employment agreement with Dr. Pablo Guzman (the “Guzman Employment Agreement”), which provided that Dr. Guzman’s employment is conditioned upon, among other things, his agreement and execution of a Proprietary Information &amp; Restrictive Covenant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Guzman Employment Agreement, Dr. Guzman serves as our Chief Medical Officer and Senior Vice President of Medical Affairs and receives a base salary of $350,000 annually, subject to our standard payroll practices. Dr. Guzman’s base salary and future increases in compensation are subject to periodic review and approval by the board of directors. In addition, Dr. Guzman is eligible to receive an annual performance-based cash bonus of up to thirty percent (30%) of Dr. Guzman’s base salary, the exact amount of which is subject to review and determination by the board of directors, based upon Dr. Guzman’s achievement of certain performance goals. Dr. Guzman’s receipt of an annual bonus is also contingent upon Dr. Guzman’s continued employment with us at the time such bonus is to be paid, otherwise the annual bonus is forfeited. In addition, pursuant to the terms of the Guzman Employment Agreement, Dr. Guzman may be eligible for certain grants of equity awards of our common stock, subject to vesting and other terms and conditions of our equity plan to which the award is granted and an agreement to be provided by us and entered into with Dr. Guzman. Dr. Guzman is also eligible to participate on the same basis as similarly situated employees in our benefit plans in effect from time during his employment.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Guzman Employment Agreement, we may terminate Dr. Guzman’s employment at any time without Cause (as that term is defined in the Guzman Employment Agreement) upon a 10 days’ advance written notice to Dr. Guzman. Provided Dr. Guzman has not previously been notified of our intention to terminate his employment, Dr. Guzman may resign from his employment with us for Good Reason (as that term is defined in the Guzman Employment Agreement) upon 30 days written notice to us, upon which notice we have 30 days to cure the conditions that Dr. Guzman considers to be Good Reason, subject to certain conditions set forth in the Guzman Employment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Dr. Guzman resigns for Good Reason or his employment is terminated without Cause and, in each case, such resignation or termination constitutes a Separation from Service (as defined in the Guzman Employment Agreement), then Dr. Guzman shall be entitled to receive the Accrued Obligations (as that term is defined in the Guzman Employment Agreement), and subject to Dr. Guzman’s compliance with his obligations under the Guzman Employment Agreement, the following severance benefits: (i) an amount equal to Dr. Guzman’s then current base salary for 12 months paid in equal installments; (ii) an amount equal to any unpaid bonus earned for the year preceding Dr. Guzman’s Separation from Services; and (iii) provided that Mr. Guzman timely elects continued group health plan coverage under COBRA reimbursement for certain COBRA health benefits for up to 12 months, subject in each case to the terms and conditions of the Guzman Employment Agreement and applicable laws and regulations.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above, if we (or any surviving or acquiring corporation) terminate Dr. Guzman’s employment without Cause or Dr. Guzman resigns for Good Reason within 90 days before and 24 months following the effective date of a Change of Control (as defined in the Guzman Employment Agreement), then Dr. Guzman will be entitled to receive the Accrued Obligations and, subject to Dr. Guzman’s compliance with his obligations under the Guzman Employment Agreement, the same severance benefits that Mr. Guzman would receive if he had resigned for Good Reason or his employment terminated without Cause; provided, however, that if the Change in Control is a change in ownership of a corporation, a change in the effective control of a corporation, or a change in ownership of a substantial portion of a corporation’s assets, the cumulative amount of the severance payments payable (or remaining payable) for such termination shall be paid in a single lump sum on or within 30 days following such Change in Control. In addition, Dr. Guzman will be entitled to (i) receive a bonus equal to thirty percent (30%) of Dr. Guzman’s then base salary, and (ii) an immediate vesting of any equity awards issued to Dr. Guzman that are outstanding as of the closing of such Change in Control, provided that they are assumed or continued (in accordance with their terms) by the surviving entity in such Change in Control.</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Guzman Employment Agreement, we may terminate Dr. Guzman’s employment at any time for Cause upon a 10 days’ advance written notice to Dr. Guzman. In the event Dr. Guzman’s employment is terminated at any time for Cause, Dr. Guzman will not receive any severance compensation or benefits, except that, pursuant to our standard payroll policies, we shall pay to Dr. Guzman the Accrued Obligations. Dr. Guzman may resign from his employment with us at any time upon not less than 30 days’ advance written notice to us of such resignation. In the event Dr. Guzman resigns from employment with us for any reason (other than a resignation for Good Reason), Dr. Guzman will not receive any severance compensation or benefits, except that we shall pay and provide the Accrued Obligations.</w:t>
      </w:r>
    </w:p>
    <w:p>
      <w:pPr>
        <w:spacing w:after="0" w:line="18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Dr. Guzman’s entitlement to receive certain severance benefits is conditioned upon, among other things, his obligation to sign and deliver an effective Release (as that term is defined in the Guzman Employment Agreement) in a form acceptable to us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termination or such earlier date as set forth in the Release.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125"/>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6"/>
                <w:szCs w:val="16"/>
                <w:color w:val="auto"/>
              </w:rPr>
            </w:pPr>
          </w:p>
        </w:tc>
        <w:tc>
          <w:tcPr>
            <w:tcW w:w="1400" w:type="dxa"/>
            <w:vAlign w:val="bottom"/>
            <w:gridSpan w:val="2"/>
          </w:tcPr>
          <w:p>
            <w:pPr>
              <w:jc w:val="center"/>
              <w:ind w:right="125"/>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140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220" w:type="dxa"/>
            <w:vAlign w:val="bottom"/>
          </w:tcPr>
          <w:p>
            <w:pPr>
              <w:spacing w:after="0"/>
              <w:rPr>
                <w:sz w:val="18"/>
                <w:szCs w:val="18"/>
                <w:color w:val="auto"/>
              </w:rPr>
            </w:pPr>
          </w:p>
        </w:tc>
        <w:tc>
          <w:tcPr>
            <w:tcW w:w="140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220" w:type="dxa"/>
            <w:vAlign w:val="bottom"/>
          </w:tcPr>
          <w:p>
            <w:pPr>
              <w:spacing w:after="0"/>
              <w:rPr>
                <w:sz w:val="18"/>
                <w:szCs w:val="18"/>
                <w:color w:val="auto"/>
              </w:rPr>
            </w:pPr>
          </w:p>
        </w:tc>
        <w:tc>
          <w:tcPr>
            <w:tcW w:w="140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140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18"/>
                <w:szCs w:val="18"/>
                <w:color w:val="auto"/>
              </w:rPr>
            </w:pPr>
          </w:p>
        </w:tc>
        <w:tc>
          <w:tcPr>
            <w:tcW w:w="1400" w:type="dxa"/>
            <w:vAlign w:val="bottom"/>
            <w:gridSpan w:val="2"/>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4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440" w:type="dxa"/>
            <w:vAlign w:val="bottom"/>
            <w:gridSpan w:val="2"/>
          </w:tcPr>
          <w:p>
            <w:pPr>
              <w:jc w:val="center"/>
              <w:ind w:left="186"/>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440" w:type="dxa"/>
            <w:vAlign w:val="bottom"/>
            <w:gridSpan w:val="2"/>
          </w:tcPr>
          <w:p>
            <w:pPr>
              <w:jc w:val="center"/>
              <w:ind w:left="18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9"/>
        </w:trPr>
        <w:tc>
          <w:tcPr>
            <w:tcW w:w="3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Stephen C. Glover</w:t>
            </w:r>
          </w:p>
        </w:tc>
        <w:tc>
          <w:tcPr>
            <w:tcW w:w="1560" w:type="dxa"/>
            <w:vAlign w:val="bottom"/>
            <w:gridSpan w:val="2"/>
            <w:shd w:val="clear" w:color="auto" w:fill="CCEEFF"/>
          </w:tcPr>
          <w:p>
            <w:pPr>
              <w:jc w:val="center"/>
              <w:ind w:left="214"/>
              <w:spacing w:after="0"/>
              <w:rPr>
                <w:sz w:val="20"/>
                <w:szCs w:val="20"/>
                <w:color w:val="auto"/>
              </w:rPr>
            </w:pPr>
            <w:r>
              <w:rPr>
                <w:rFonts w:ascii="Times New Roman" w:cs="Times New Roman" w:eastAsia="Times New Roman" w:hAnsi="Times New Roman"/>
                <w:sz w:val="1"/>
                <w:szCs w:val="1"/>
                <w:color w:val="auto"/>
              </w:rPr>
              <w:t>10/28/2016</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483</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1,760.50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10/28/2026</w:t>
            </w: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i w:val="1"/>
                <w:iCs w:val="1"/>
                <w:color w:val="auto"/>
              </w:rPr>
              <w:t>Co-Founder, Chief Executive Officer,</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4/2/2019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757</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4,053.00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4/2/2029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i w:val="1"/>
                <w:iCs w:val="1"/>
                <w:color w:val="auto"/>
              </w:rPr>
              <w:t>President and Chairman</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2/8/2021</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361</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5,726.00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2/8/2031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2/3/2022</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152</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75</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5,726.00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2/3/2032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5/24/2023</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543</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1,084</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152.50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5/24/2033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Peter Wolfe</w:t>
            </w:r>
          </w:p>
        </w:tc>
        <w:tc>
          <w:tcPr>
            <w:tcW w:w="1560" w:type="dxa"/>
            <w:vAlign w:val="bottom"/>
            <w:gridSpan w:val="2"/>
            <w:shd w:val="clear" w:color="auto" w:fill="CCEEFF"/>
          </w:tcPr>
          <w:p>
            <w:pPr>
              <w:jc w:val="center"/>
              <w:ind w:left="214"/>
              <w:spacing w:after="0"/>
              <w:rPr>
                <w:sz w:val="20"/>
                <w:szCs w:val="20"/>
                <w:color w:val="auto"/>
              </w:rPr>
            </w:pPr>
            <w:r>
              <w:rPr>
                <w:rFonts w:ascii="Times New Roman" w:cs="Times New Roman" w:eastAsia="Times New Roman" w:hAnsi="Times New Roman"/>
                <w:sz w:val="1"/>
                <w:szCs w:val="1"/>
                <w:color w:val="auto"/>
              </w:rPr>
              <w:t>10/21/2015</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29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1,760.50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10/20/2025</w:t>
            </w: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i w:val="1"/>
                <w:iCs w:val="1"/>
                <w:color w:val="auto"/>
              </w:rPr>
              <w:t>Chief Financial Officer and Secretary</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10/30/2017</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29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1,760.50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10/30/2027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4/2/2019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114</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4,053.00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4/2/2029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2/8/2021</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63</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5,726.00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2/8/2031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1/28/2022</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42</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21</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5,726.00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1/28/2032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5/24/2023</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239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476</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152.50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5/24/2033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Pablo A. Guzman, M.D.</w:t>
            </w:r>
          </w:p>
        </w:tc>
        <w:tc>
          <w:tcPr>
            <w:tcW w:w="1560" w:type="dxa"/>
            <w:vAlign w:val="bottom"/>
            <w:gridSpan w:val="2"/>
            <w:shd w:val="clear" w:color="auto" w:fill="CCEEFF"/>
          </w:tcPr>
          <w:p>
            <w:pPr>
              <w:jc w:val="center"/>
              <w:ind w:left="214"/>
              <w:spacing w:after="0"/>
              <w:rPr>
                <w:sz w:val="20"/>
                <w:szCs w:val="20"/>
                <w:color w:val="auto"/>
              </w:rPr>
            </w:pPr>
            <w:r>
              <w:rPr>
                <w:rFonts w:ascii="Times New Roman" w:cs="Times New Roman" w:eastAsia="Times New Roman" w:hAnsi="Times New Roman"/>
                <w:sz w:val="1"/>
                <w:szCs w:val="1"/>
                <w:color w:val="auto"/>
              </w:rPr>
              <w:t>1/15/2015</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1,760.50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1/14/2025</w:t>
            </w: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i w:val="1"/>
                <w:iCs w:val="1"/>
                <w:color w:val="auto"/>
              </w:rPr>
              <w:t>Chief Medical Officer and</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3/1/2015</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29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1,760.50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4/8/2025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i w:val="1"/>
                <w:iCs w:val="1"/>
                <w:color w:val="auto"/>
              </w:rPr>
              <w:t>Senior Vice President of Medical Affairs</w:t>
            </w: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4/2/2019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57</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4,053.00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4/1/2029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10/31/2020</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32</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5,726.00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10/31/2030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12/31/2020</w:t>
            </w:r>
          </w:p>
        </w:tc>
        <w:tc>
          <w:tcPr>
            <w:tcW w:w="220" w:type="dxa"/>
            <w:vAlign w:val="bottom"/>
            <w:shd w:val="clear" w:color="auto" w:fill="CCEEFF"/>
          </w:tcPr>
          <w:p>
            <w:pPr>
              <w:spacing w:after="0" w:line="20" w:lineRule="exact"/>
              <w:rPr>
                <w:sz w:val="1"/>
                <w:szCs w:val="1"/>
                <w:color w:val="auto"/>
              </w:rPr>
            </w:pPr>
          </w:p>
        </w:tc>
        <w:tc>
          <w:tcPr>
            <w:tcW w:w="1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9</w:t>
            </w:r>
          </w:p>
        </w:tc>
        <w:tc>
          <w:tcPr>
            <w:tcW w:w="16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2"/>
                <w:szCs w:val="2"/>
                <w:color w:val="auto"/>
              </w:rPr>
              <w:t>-</w:t>
            </w:r>
          </w:p>
        </w:tc>
        <w:tc>
          <w:tcPr>
            <w:tcW w:w="17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5,726.00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12/31/2030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rPr>
              <w:t>3/31/2021</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1620" w:type="dxa"/>
            <w:vAlign w:val="bottom"/>
            <w:gridSpan w:val="3"/>
            <w:shd w:val="clear" w:color="auto" w:fill="CCEEFF"/>
          </w:tcPr>
          <w:p>
            <w:pPr>
              <w:jc w:val="right"/>
              <w:ind w:right="105"/>
              <w:spacing w:after="0" w:line="15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320"/>
              <w:spacing w:after="0" w:line="156" w:lineRule="exact"/>
              <w:rPr>
                <w:sz w:val="20"/>
                <w:szCs w:val="20"/>
                <w:color w:val="auto"/>
              </w:rPr>
            </w:pPr>
            <w:r>
              <w:rPr>
                <w:rFonts w:ascii="Times New Roman" w:cs="Times New Roman" w:eastAsia="Times New Roman" w:hAnsi="Times New Roman"/>
                <w:sz w:val="18"/>
                <w:szCs w:val="18"/>
                <w:color w:val="auto"/>
              </w:rPr>
              <w:t>5,726.00</w:t>
            </w:r>
          </w:p>
        </w:tc>
        <w:tc>
          <w:tcPr>
            <w:tcW w:w="13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3/31/2031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6/30/2021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1620" w:type="dxa"/>
            <w:vAlign w:val="bottom"/>
            <w:gridSpan w:val="3"/>
            <w:shd w:val="clear" w:color="auto" w:fill="CCEEFF"/>
          </w:tcPr>
          <w:p>
            <w:pPr>
              <w:jc w:val="right"/>
              <w:ind w:right="105"/>
              <w:spacing w:after="0" w:line="17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5,726.00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6/30/2031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9/30/2021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5"/>
              <w:spacing w:after="0" w:line="17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5,726.00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9/30/2031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12/31/2021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5"/>
              <w:spacing w:after="0" w:line="17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5,726.00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12/31/2031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3/31/2022</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5,726.00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3/31/2032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6/30/2022</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3,965.50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6/30/2032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1/27/2023</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96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190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176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738.50</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1/27/2033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stock option awards issued prior to January 1, 2023 were granted under the ZyVersa 2014 Stock Plan (the “2014 Plan”), and those issued thereafter under the ZyVersa 2022 Omnibus Equity Incentive Plan (the “2022 Plan”)</w:t>
      </w: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each option immediately vested on the applicable grant date.</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option vested on the grant date and the remaining vest in equal annual installments over two years from the applicable grant date.</w:t>
      </w:r>
    </w:p>
    <w:p>
      <w:pPr>
        <w:ind w:left="660" w:hanging="652"/>
        <w:spacing w:after="0" w:line="26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each option vested or will vest in equal annual installments over three years from the applicable grant date, subject to continuous service with the Company on each such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sets non-employee director compensation which is designed to provide competitive compensation necessary to attract and retain high quality non-employee directors and to encourage ownership of our common stock to further align their interests with those of our stockholders. In 2024, each non-employee director of the Company was eligible to receive an annual fee of $40,000 as a member of the Board and an additional fee of (a) $7,500 for Compensation Committee members, (b) $15,000 for the Chairman of the Compensation Committee, (c) $4,000 for Corporate Governance Committee members, (d) $8,000 for the Chairman of the Corporate Governance Committee, (e) $8,000 for Audit Committee members, and (f) $18,500 for the Chairman of the Audit Committee.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by all non-employee directors during the fiscal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ind w:left="120"/>
              <w:spacing w:after="0" w:line="252" w:lineRule="exact"/>
              <w:rPr>
                <w:sz w:val="20"/>
                <w:szCs w:val="20"/>
                <w:color w:val="auto"/>
              </w:rPr>
            </w:pPr>
            <w:r>
              <w:rPr>
                <w:rFonts w:ascii="Times New Roman" w:cs="Times New Roman" w:eastAsia="Times New Roman" w:hAnsi="Times New Roman"/>
                <w:sz w:val="18"/>
                <w:szCs w:val="18"/>
                <w:b w:val="1"/>
                <w:bCs w:val="1"/>
                <w:color w:val="auto"/>
              </w:rPr>
              <w:t xml:space="preserve">paid in cash </w:t>
            </w:r>
            <w:r>
              <w:rPr>
                <w:rFonts w:ascii="Times New Roman" w:cs="Times New Roman" w:eastAsia="Times New Roman" w:hAnsi="Times New Roman"/>
                <w:sz w:val="29"/>
                <w:szCs w:val="29"/>
                <w:b w:val="1"/>
                <w:bCs w:val="1"/>
                <w:color w:val="auto"/>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10"/>
        </w:trPr>
        <w:tc>
          <w:tcPr>
            <w:tcW w:w="4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Freitag</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62,500</w:t>
            </w:r>
          </w:p>
        </w:tc>
        <w:tc>
          <w:tcPr>
            <w:tcW w:w="1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Sapirstein</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63,500</w:t>
            </w:r>
          </w:p>
        </w:tc>
        <w:tc>
          <w:tcPr>
            <w:tcW w:w="1260" w:type="dxa"/>
            <w:vAlign w:val="bottom"/>
          </w:tcPr>
          <w:p>
            <w:pPr>
              <w:spacing w:after="0"/>
              <w:rPr>
                <w:sz w:val="18"/>
                <w:szCs w:val="18"/>
                <w:color w:val="auto"/>
              </w:rPr>
            </w:pP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63,500</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Finizio</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63,000</w:t>
            </w:r>
          </w:p>
        </w:tc>
        <w:tc>
          <w:tcPr>
            <w:tcW w:w="1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63,000</w:t>
            </w: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 Chul Park</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51,500</w:t>
            </w:r>
          </w:p>
        </w:tc>
        <w:tc>
          <w:tcPr>
            <w:tcW w:w="1260" w:type="dxa"/>
            <w:vAlign w:val="bottom"/>
          </w:tcPr>
          <w:p>
            <w:pPr>
              <w:spacing w:after="0"/>
              <w:rPr>
                <w:sz w:val="20"/>
                <w:szCs w:val="20"/>
                <w:color w:val="auto"/>
              </w:rPr>
            </w:pP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51,500</w:t>
            </w:r>
          </w:p>
        </w:tc>
      </w:tr>
    </w:tbl>
    <w:p>
      <w:pPr>
        <w:spacing w:after="0" w:line="179" w:lineRule="exact"/>
        <w:rPr>
          <w:sz w:val="20"/>
          <w:szCs w:val="20"/>
          <w:color w:val="auto"/>
        </w:rPr>
      </w:pPr>
    </w:p>
    <w:p>
      <w:pPr>
        <w:ind w:left="660" w:right="400" w:hanging="328"/>
        <w:spacing w:after="0" w:line="50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earned or paid in cash are included in accounts payable on the balance sheet of the consolidated financial statements included herein. Actual fees earned or paid in cash, which are prorated for the amount of days on each of the committees in 2024, are as follows:</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Freitag earned $40,000 as a member of the Board, $18,500 as the Chairman of the Audit Committee, and $4,000 as a member of the Nominating and Corporate Governance Committee.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Sapirstein earned $40,000 as a member of the Board, $7,500 as a member of the Compensation Committee, $8,000 as the Chairman of the Nominating and Corporate Governance Committee, and $8,000 as a member of the Audit Committee.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Finizio earned $40,000 as a member of the Board, $15,000 as the Chairman of the Compensation Committee, and $8,000 as a member of the Audit Committee.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Dr. Park earned $40,000 as a member of the Board, $7,500 as a member of the Compensation Committee, and $4,000 as a member of the Nominating and Corporate Governance Committee.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Equity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12, 2022, in connection with the consummation of the Business Combination, the Company approved the amendment to the 2014 Plan (the “2014 Plan Amendment”). The 2014 Plan Amendment provides, among other things, that upon consummation of the Business Combination, no further increases in the shares of common stock reserved and available for issuance under the 2014 Plan shall occur and no new awards shall be made under the 2014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Equity Incentive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ZyVersa Therapeutics, Inc. 2022 Omnibus Equity Incentive Plan (the “2022 Plan”) became effective upon the consummation of the Business Combination on December 12, 2022. The purpose of the 2022 Plan is to provide a means whereby eligible employees, officers, non-employee directors and other individual service providers develop a sense of proprietorship and personal involvement in the development and financial success of the Company and to encourage them to devote their best efforts to our business, thereby advancing our interests and the interests of our stockholders. By means of the 2022 Plan, we seek to retain the services of such eligible persons and to provide incentives for such persons to exert maximum efforts for our success and the success of our subsidiaries. On October 29, 2024, our board of directors and stockholders approved an amendment and restatement of the 2022 Plan to increase the number of shares of common stock reserved for issuance thereunder to 181,795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our compensation plans under which equity compensation is authorized for issuance.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829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26" w:lineRule="exact"/>
        <w:rPr>
          <w:sz w:val="20"/>
          <w:szCs w:val="20"/>
          <w:color w:val="auto"/>
        </w:rPr>
      </w:pPr>
    </w:p>
    <w:p>
      <w:pPr>
        <w:jc w:val="both"/>
        <w:ind w:right="320"/>
        <w:spacing w:after="0" w:line="230" w:lineRule="auto"/>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400" w:type="dxa"/>
            <w:vAlign w:val="bottom"/>
          </w:tcPr>
          <w:p>
            <w:pPr>
              <w:spacing w:after="0"/>
              <w:rPr>
                <w:sz w:val="18"/>
                <w:szCs w:val="18"/>
                <w:color w:val="auto"/>
              </w:rPr>
            </w:pP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229"/>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400" w:type="dxa"/>
            <w:vAlign w:val="bottom"/>
          </w:tcPr>
          <w:p>
            <w:pPr>
              <w:spacing w:after="0"/>
              <w:rPr>
                <w:sz w:val="19"/>
                <w:szCs w:val="19"/>
                <w:color w:val="auto"/>
              </w:rPr>
            </w:pP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38"/>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398"/>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40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2,301.04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177,638</w:t>
            </w:r>
          </w:p>
        </w:tc>
        <w:tc>
          <w:tcPr>
            <w:tcW w:w="0" w:type="dxa"/>
            <w:vAlign w:val="bottom"/>
          </w:tcPr>
          <w:p>
            <w:pPr>
              <w:spacing w:after="0"/>
              <w:rPr>
                <w:sz w:val="1"/>
                <w:szCs w:val="1"/>
                <w:color w:val="auto"/>
              </w:rPr>
            </w:pPr>
          </w:p>
        </w:tc>
      </w:tr>
      <w:tr>
        <w:trPr>
          <w:trHeight w:val="44"/>
        </w:trPr>
        <w:tc>
          <w:tcPr>
            <w:tcW w:w="16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2,301.04</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177,638</w:t>
            </w:r>
          </w:p>
        </w:tc>
        <w:tc>
          <w:tcPr>
            <w:tcW w:w="0" w:type="dxa"/>
            <w:vAlign w:val="bottom"/>
          </w:tcPr>
          <w:p>
            <w:pPr>
              <w:spacing w:after="0"/>
              <w:rPr>
                <w:sz w:val="1"/>
                <w:szCs w:val="1"/>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-487680</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80" w:space="720"/>
            <w:col w:w="5840"/>
          </w:cols>
          <w:pgMar w:left="320" w:top="688" w:right="339" w:bottom="1440" w:gutter="0" w:footer="0" w:header="0"/>
          <w:type w:val="continuous"/>
        </w:sect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2014 Plan, which we assumed in the 2024 Business Combination, and the 2022 Plan.</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5,131 and 4,157 shares of common stock issuable upon exercise of outstanding options pursuant to the 2014 Equity Incentive Plan and 2022 Omnibus Equity Incentive Plan, respectively, as of December 31, 2024.</w:t>
      </w:r>
    </w:p>
    <w:p>
      <w:pPr>
        <w:jc w:val="both"/>
        <w:ind w:left="660" w:hanging="652"/>
        <w:spacing w:after="0" w:line="255"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Plan contains an “evergreen” provision, pursuant to which the number of shares of common stock available for issuance under the 2022 Plan will automatically increase on the first day of January each calendar year during the term of the 2022 Plan by an amount equal to 4% of the number of shares outstanding on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[To be completed closer to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beneficial ownership of our Common Stock as of March 20, 2025 by:</w:t>
      </w:r>
    </w:p>
    <w:p>
      <w:pPr>
        <w:spacing w:after="0" w:line="22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outstanding Common Stock of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current executive officers and directors as a group.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March 20, 2025. Shares subject to warrants or options that are currently exercisable or exercisable within 60 days of March 20, 2025 or subject to restricted stock units that vest within 60 days of March 20, 2025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the Company, the persons and entities named in the table below have sole voting and investment power with respect to all shares shown as beneficially owned by them. Unless otherwise indicated, the business address of each beneficial owner listed in the table below is c/o ZyVersa Therapeutics, Inc., 2200 N. Commerce Parkway, Suite 208, Weston, Florida 33326.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2,568,191 shares of Common Stock issued and outstanding as of March 20,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Stephen C. Glover</w:t>
            </w:r>
            <w:r>
              <w:rPr>
                <w:rFonts w:ascii="Times New Roman" w:cs="Times New Roman" w:eastAsia="Times New Roman" w:hAnsi="Times New Roman"/>
                <w:sz w:val="29"/>
                <w:szCs w:val="29"/>
                <w:color w:val="auto"/>
                <w:vertAlign w:val="superscript"/>
              </w:rPr>
              <w:t>(1)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4,423</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Min Chul Park, Ph.D.</w:t>
            </w:r>
            <w:r>
              <w:rPr>
                <w:rFonts w:ascii="Times New Roman" w:cs="Times New Roman" w:eastAsia="Times New Roman" w:hAnsi="Times New Roman"/>
                <w:sz w:val="29"/>
                <w:szCs w:val="29"/>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G. Finizio</w:t>
            </w:r>
            <w:r>
              <w:rPr>
                <w:rFonts w:ascii="Times New Roman" w:cs="Times New Roman" w:eastAsia="Times New Roman" w:hAnsi="Times New Roman"/>
                <w:sz w:val="29"/>
                <w:szCs w:val="29"/>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Peter Wolfe</w:t>
            </w:r>
            <w:r>
              <w:rPr>
                <w:rFonts w:ascii="Times New Roman" w:cs="Times New Roman" w:eastAsia="Times New Roman" w:hAnsi="Times New Roman"/>
                <w:sz w:val="29"/>
                <w:szCs w:val="29"/>
                <w:color w:val="auto"/>
                <w:vertAlign w:val="superscript"/>
              </w:rPr>
              <w:t>(4)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Karen Cashmere</w:t>
            </w:r>
            <w:r>
              <w:rPr>
                <w:rFonts w:ascii="Times New Roman" w:cs="Times New Roman" w:eastAsia="Times New Roman" w:hAnsi="Times New Roman"/>
                <w:sz w:val="29"/>
                <w:szCs w:val="29"/>
                <w:color w:val="auto"/>
                <w:vertAlign w:val="superscript"/>
              </w:rPr>
              <w:t>(5)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Pablo A. Guzman, M.D</w:t>
            </w:r>
            <w:r>
              <w:rPr>
                <w:rFonts w:ascii="Times New Roman" w:cs="Times New Roman" w:eastAsia="Times New Roman" w:hAnsi="Times New Roman"/>
                <w:sz w:val="29"/>
                <w:szCs w:val="29"/>
                <w:color w:val="auto"/>
                <w:vertAlign w:val="superscript"/>
              </w:rPr>
              <w:t>(6)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Sapirstein</w:t>
            </w:r>
            <w:r>
              <w:rPr>
                <w:rFonts w:ascii="Times New Roman" w:cs="Times New Roman" w:eastAsia="Times New Roman" w:hAnsi="Times New Roman"/>
                <w:sz w:val="29"/>
                <w:szCs w:val="29"/>
                <w:color w:val="auto"/>
                <w:vertAlign w:val="superscript"/>
              </w:rPr>
              <w:t>(7)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Freitag</w:t>
            </w:r>
            <w:r>
              <w:rPr>
                <w:rFonts w:ascii="Times New Roman" w:cs="Times New Roman" w:eastAsia="Times New Roman" w:hAnsi="Times New Roman"/>
                <w:sz w:val="29"/>
                <w:szCs w:val="29"/>
                <w:color w:val="auto"/>
                <w:vertAlign w:val="superscript"/>
              </w:rPr>
              <w:t>(8)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 (8 individuals)</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5% beneficial owners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9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Armistice Capital Master Fund Ltd.</w:t>
            </w:r>
            <w:r>
              <w:rPr>
                <w:rFonts w:ascii="Times New Roman" w:cs="Times New Roman" w:eastAsia="Times New Roman" w:hAnsi="Times New Roman"/>
                <w:sz w:val="29"/>
                <w:szCs w:val="29"/>
                <w:color w:val="auto"/>
                <w:vertAlign w:val="superscript"/>
              </w:rPr>
              <w:t>(9)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285,037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r>
    </w:tbl>
    <w:p>
      <w:pPr>
        <w:spacing w:after="0" w:line="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Indicates beneficial ownership of less than 1%.</w:t>
      </w:r>
    </w:p>
    <w:p>
      <w:pPr>
        <w:spacing w:after="0" w:line="225" w:lineRule="exact"/>
        <w:rPr>
          <w:sz w:val="20"/>
          <w:szCs w:val="20"/>
          <w:color w:val="auto"/>
        </w:rPr>
      </w:pPr>
    </w:p>
    <w:p>
      <w:pPr>
        <w:jc w:val="both"/>
        <w:ind w:left="340" w:hanging="332"/>
        <w:spacing w:after="0" w:line="25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1,821 shares of Common Stock held by Stephen C. Glover and affiliates, consisting of (i) 1,308 shares of Common Stock held of record by Stephen C. Glover; (ii) 126 shares of Common Stock held of record by MedicaRx Inc.; (iii) 245 shares of common stock held of record by Asclepius Life Sciences Fund, LP; and (iv) 142 shares of Common Stock held of record by Asclepius Master Fund, LTD. The amount also includes options and warrants that are exercisable as of or within 60 days of March 20, 2025 for 2,370 and 232, respectively, shares of Common Stock. Mr. Glover is the managing director of MedicaRx Inc., the managing director of Asclepius Master Fund, LTD, and the managing member of Asclepius Life Sciences Fund, LP.</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that are exercisable as of or within 60 days of March 20, 2025 for 159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that are exercisable as of or within 60 days of March 20, 2025 for 216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127 shares of Common Stock; and (ii) options and warrants that are exercisable as of or within 60 days of March 20, 2025 for 536 and 52, respectively, shares of common stock.</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that are exercisable as of or within 60 days of March 20, 2025 for 459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76 shares of Common Stock; and (ii) options and warrants that are exercisable as of or within 60 days of March 20, 2025 for 366 and 26, respectively, shares of Common Stock.</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that are exercisable as of or within 60 days of March 20, 2025 for 44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that are exercisable as of or within 60 days of March 20, 2025 for 44 shares of common stock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both"/>
        <w:ind w:left="340" w:hanging="332"/>
        <w:spacing w:after="0" w:line="25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285,037 shares of Common Stock issuable upon exercise of pre-funded warrants, but excludes 1,820,228 shares of Common Stock underlying such pre-funded warrants that are not currently exercisable as a result of a 9.99% beneficial ownership limitation blocker contained in such warrants. Also excludes warrants to purchase 3,062,465 shares of Common Stock, which become exercisable upon receipt of stockholder approval. The securities are held of record by Armistice Capital Master Fund Ltd. Steve Boyd is the CIO of Armistice Capital, LLC and has sole voting and dispositive power over the securities held by Armistice Capital Master Fund Ltd. The business address for Armistice Capital Master Fund Ltd.is 510 Madison Avenue, 7th Floor, New York NY 10022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Arrangements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information regarding compensation arrangements with the executive officers and directors of the Company, which include, among other things, employment, termination of employment and change in control arrangements, stock awards and certain other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(“Charter”) and Second Amended and Restated Bylaws (“Bylaws”) provide for indemnification for our directors and officers to the fullest extent permitted by the DGCL. We have entered into indemnification agreements with each of our directors and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“Related Person” means:</w:t>
      </w:r>
    </w:p>
    <w:p>
      <w:pPr>
        <w:spacing w:after="0" w:line="22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the Company’s officers or one of the Company’s directors;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the Company to be the beneficial owner of more than five percent (5%) of its voting stock;</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15" w:name="page116"/>
    <w:bookmarkEnd w:id="11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Robert G. Finizio, Min Chul Park, Ph.D., James Sapirstein, and Gregory Freitag, representing four</w:t>
      </w:r>
    </w:p>
    <w:p>
      <w:pPr>
        <w:spacing w:after="0" w:line="1" w:lineRule="exact"/>
        <w:rPr>
          <w:sz w:val="20"/>
          <w:szCs w:val="20"/>
          <w:color w:val="auto"/>
        </w:rPr>
      </w:pPr>
    </w:p>
    <w:p>
      <w:pPr>
        <w:jc w:val="both"/>
        <w:ind w:firstLine="8"/>
        <w:spacing w:after="0" w:line="253" w:lineRule="auto"/>
        <w:tabs>
          <w:tab w:leader="none" w:pos="2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five (5)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In addition, all members of the audit committee, compensation committee, and nominating and corporate governance committee of our board of directors satisfy the independence standards for such committees established by the SEC and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Type of Fees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210"/>
        </w:trPr>
        <w:tc>
          <w:tcPr>
            <w:tcW w:w="4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44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9"/>
                <w:szCs w:val="29"/>
                <w:color w:val="auto"/>
                <w:vertAlign w:val="superscript"/>
              </w:rPr>
              <w:t>(1)(2)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290,775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848,160</w:t>
            </w:r>
          </w:p>
        </w:tc>
      </w:tr>
      <w:tr>
        <w:trPr>
          <w:trHeight w:val="257"/>
        </w:trPr>
        <w:tc>
          <w:tcPr>
            <w:tcW w:w="4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290,775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848,160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7"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for professional services rendered in connection with the audit of our consolidated financial statements, statutory filings and registration statements, review of interim financial statements, the review of documents filed with the SEC, comfort letters, consents and certain accounting and consultations in connection with the audits.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the years ended December 31, 2024 and 2023 include professional fees incurred by Ernst and Young of $56,775 and $663,160, respectively, and Marcum of $234,000 and $185,000, respectively.</w:t>
      </w:r>
    </w:p>
    <w:p>
      <w:pPr>
        <w:ind w:left="66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for services related to accounting consultation and compliance with regulatory requirements and are not reported under “Audit Fees”.</w:t>
      </w:r>
    </w:p>
    <w:p>
      <w:pPr>
        <w:ind w:left="660" w:hanging="328"/>
        <w:spacing w:after="0" w:line="26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for services related to tax compliance, tax planning and tax advice. These services included annual U.S. federal and state compliance and preparation of related tax returns and reports.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the authority and responsibility to pre-approve all audit, review, and non-audit services (including any internal control-related services) to be provided to us or our subsidiaries by the independent auditor. The audit committee may also establish pre-approval policies and procedures in compliance with applicable SEC rules. The pre-approval of services may be delegated to subcommittees of the audit committee consisting of one or more of the audit committee’s members, but the decision must be reported to the full audit committee at its next scheduled meeting.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services rendered by EY and Marcum for the year ended December 31, 2023, and by Marcum for the year ended December 31, 2024, were pre-approved in accordance with the procedures set forth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Documents filed as part of this Report</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and related notes, together with the reports of Marcum LLP and Ernst &amp; Young LLP, our independent registered public accounting firms, appear at pages F-1 through F-28 following the Exhibit List as required by “Part II—Item 8—Financial Statements and Supplementary Data”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is shown in the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 [TH to supplement the exhibit list in the next draft]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1012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Business Combination Agreement, dated as of July 20, 2022, by and among Larkspur Health Acquisition Corp., Larkspur Merger Sub Inc.,</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Stephen Glover and ZyVersa Therapeutics, Inc. (incorporated by reference to Exhibit 2.1 to the Company’s Current Report on Form 8-K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filed with the SEC on July 22, 2022).</w:t>
              </w:r>
            </w:hyperlink>
          </w:p>
        </w:tc>
        <w:tc>
          <w:tcPr>
            <w:tcW w:w="744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Second Amended and Restated Certificate of Incorporation of ZyVersa Therapeutics, Inc. (incorporated by reference to Exhibit 3.1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Company’s Current Report on Form 8-K filed with the SEC on December 13, 2022).</w:t>
              </w:r>
            </w:hyperlink>
          </w:p>
        </w:tc>
        <w:tc>
          <w:tcPr>
            <w:tcW w:w="402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Certificate of Amendment to the Second Amended and Restated Certificate of Incorporation of ZyVersa Therapeutics, Inc. (incorporated by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reference to Exhibit 3.1 to the Company’s Current Report on Form 8-K filed with the SEC on November 30, 2023).</w:t>
              </w:r>
            </w:hyperlink>
          </w:p>
        </w:tc>
        <w:tc>
          <w:tcPr>
            <w:tcW w:w="18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Second Certificate of Amendment to the Second Amended and Restated Certificate of Incorporation of ZyVersa Therapeutics, Inc.</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by reference to Exhibit 3.1 to the Company’s Current Report on Form 8-K filed with the SEC on April 17, 2024).</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Second Amended and Restated Bylaws of ZyVersa Therapeutics, Inc. (incorporated by reference to Exhibit 3.2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Report on Form 8-K filed with the SEC on December 13, 2022).</w:t>
              </w:r>
            </w:hyperlink>
          </w:p>
        </w:tc>
        <w:tc>
          <w:tcPr>
            <w:tcW w:w="54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Certificate of Designation relating to the Series A Convertible Preferred Stock (incorporated by reference to Exhibit 3.3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Current Report on Form 8-K filed with the SEC on December 13, 2022).</w:t>
              </w:r>
            </w:hyperlink>
          </w:p>
        </w:tc>
        <w:tc>
          <w:tcPr>
            <w:tcW w:w="486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Certificate of Designation relating to the Series B Convertible Preferred Stock (incorporated by reference to Exhibit 3.4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Current Report on Form 8-K filed with the SEC on December 13, 2022).</w:t>
              </w:r>
            </w:hyperlink>
          </w:p>
        </w:tc>
        <w:tc>
          <w:tcPr>
            <w:tcW w:w="48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Specimen Class A Common Stock Certificate of ZyVersa Therapeutics, Inc. (incorporated by reference to Exhibit 4.1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Current Report on Form 8-K filed with the SEC on December 13, 2022).</w:t>
              </w:r>
            </w:hyperlink>
          </w:p>
        </w:tc>
        <w:tc>
          <w:tcPr>
            <w:tcW w:w="488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Warrant issued by the Company in connection with the Public Warrants (incorporated by reference to Exhibit 4.2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Current Report on Form 8-K filed with the SEC on December 13, 2022).</w:t>
              </w:r>
            </w:hyperlink>
          </w:p>
        </w:tc>
        <w:tc>
          <w:tcPr>
            <w:tcW w:w="20" w:type="dxa"/>
            <w:vAlign w:val="bottom"/>
          </w:tcPr>
          <w:p>
            <w:pPr>
              <w:spacing w:after="0"/>
              <w:rPr>
                <w:sz w:val="17"/>
                <w:szCs w:val="17"/>
                <w:color w:val="auto"/>
              </w:rPr>
            </w:pPr>
          </w:p>
        </w:tc>
      </w:tr>
      <w:tr>
        <w:trPr>
          <w:trHeight w:val="479"/>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gridSpan w:val="2"/>
          </w:tcPr>
          <w:p>
            <w:pPr>
              <w:ind w:left="4380"/>
              <w:spacing w:after="0"/>
              <w:rPr>
                <w:sz w:val="20"/>
                <w:szCs w:val="20"/>
                <w:color w:val="auto"/>
              </w:rPr>
            </w:pPr>
            <w:r>
              <w:rPr>
                <w:rFonts w:ascii="Times New Roman" w:cs="Times New Roman" w:eastAsia="Times New Roman" w:hAnsi="Times New Roman"/>
                <w:sz w:val="18"/>
                <w:szCs w:val="18"/>
                <w:color w:val="auto"/>
                <w:w w:val="88"/>
              </w:rPr>
              <w:t>115</w:t>
            </w:r>
          </w:p>
        </w:tc>
        <w:tc>
          <w:tcPr>
            <w:tcW w:w="6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Warrant issued by the Company in connection with the Private Placement Warrants (incorporated by reference to Exhibit 4.3 to the</w:t>
              </w:r>
            </w:hyperlink>
          </w:p>
        </w:tc>
      </w:tr>
      <w:tr>
        <w:trPr>
          <w:trHeight w:val="196"/>
        </w:trPr>
        <w:tc>
          <w:tcPr>
            <w:tcW w:w="1120" w:type="dxa"/>
            <w:vAlign w:val="bottom"/>
          </w:tcPr>
          <w:p>
            <w:pPr>
              <w:spacing w:after="0"/>
              <w:rPr>
                <w:sz w:val="17"/>
                <w:szCs w:val="17"/>
                <w:color w:val="auto"/>
              </w:rPr>
            </w:pPr>
          </w:p>
        </w:tc>
        <w:tc>
          <w:tcPr>
            <w:tcW w:w="6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Company’s Current Report on Form 8-K filed with the SEC on December 13, 2022).</w:t>
              </w:r>
            </w:hyperlink>
          </w:p>
        </w:tc>
        <w:tc>
          <w:tcPr>
            <w:tcW w:w="4020" w:type="dxa"/>
            <w:vAlign w:val="bottom"/>
            <w:gridSpan w:val="1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Warrant issued by the Company to each PIPE Investor (incorporated by reference to Exhibit 4.4 to the Company’s Current Report</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on Form 8-K filed with the SEC on December 13, 2022).</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Bridge Warrant issued by the Company (incorporated by reference to Exhibit 4.5 to the Company’s Current Report on Form 8-K</w:t>
              </w:r>
            </w:hyperlink>
          </w:p>
        </w:tc>
      </w:tr>
      <w:tr>
        <w:trPr>
          <w:trHeight w:val="196"/>
        </w:trPr>
        <w:tc>
          <w:tcPr>
            <w:tcW w:w="112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filed with the SEC on December 13, 2022).</w:t>
              </w:r>
            </w:hyperlink>
          </w:p>
        </w:tc>
        <w:tc>
          <w:tcPr>
            <w:tcW w:w="7000" w:type="dxa"/>
            <w:vAlign w:val="bottom"/>
            <w:gridSpan w:val="1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Warrant pursuant to License Agreement, dated April 18, 2019, by and between InflamaCORE, LLC and Variant Pharmaceuticals,</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 (incorporated by reference to Exhibit 4.3 to the Company’s Form S-4 filed with the SEC on October 21, 2022).</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Warrant pursuant to License Agreement, dated December 15, 2015, by and between L&amp;F Research LLC and Variant</w:t>
              </w:r>
            </w:hyperlink>
          </w:p>
        </w:tc>
      </w:tr>
      <w:tr>
        <w:trPr>
          <w:trHeight w:val="196"/>
        </w:trPr>
        <w:tc>
          <w:tcPr>
            <w:tcW w:w="112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Pharmaceuticals, Inc. (incorporated by reference to Exhibit 4.4 to the Company’s Form S-4 filed with the SEC on October 21, 2022).</w:t>
              </w:r>
            </w:hyperlink>
          </w:p>
        </w:tc>
        <w:tc>
          <w:tcPr>
            <w:tcW w:w="540" w:type="dxa"/>
            <w:vAlign w:val="bottom"/>
            <w:gridSpan w:val="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Warrant (incorporated by reference to Exhibit 4.8 to the Company’s Registration Statement filed with the SEC on April 24, 2023).</w:t>
              </w:r>
            </w:hyperlink>
          </w:p>
        </w:tc>
        <w:tc>
          <w:tcPr>
            <w:tcW w:w="120" w:type="dxa"/>
            <w:vAlign w:val="bottom"/>
            <w:gridSpan w:val="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Form of Pre-Funded Warrant (incorporated by reference to Exhibit 4.9 to the Company’s Registration Statement filed with the SEC on April</w:t>
              </w:r>
            </w:hyperlink>
          </w:p>
        </w:tc>
      </w:tr>
      <w:tr>
        <w:trPr>
          <w:trHeight w:val="196"/>
        </w:trPr>
        <w:tc>
          <w:tcPr>
            <w:tcW w:w="11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63">
              <w:r>
                <w:rPr>
                  <w:rFonts w:ascii="Times New Roman" w:cs="Times New Roman" w:eastAsia="Times New Roman" w:hAnsi="Times New Roman"/>
                  <w:sz w:val="18"/>
                  <w:szCs w:val="18"/>
                  <w:color w:val="0000EE"/>
                  <w:w w:val="95"/>
                </w:rPr>
                <w:t>24, 2023).</w:t>
              </w:r>
            </w:hyperlink>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Pre-Funded Warrant (incorporated by reference to Exhibit 4.11 to the Company’s Amendment No. 2 to Form S-1 Registration</w:t>
              </w:r>
            </w:hyperlink>
          </w:p>
        </w:tc>
      </w:tr>
      <w:tr>
        <w:trPr>
          <w:trHeight w:val="196"/>
        </w:trPr>
        <w:tc>
          <w:tcPr>
            <w:tcW w:w="1120" w:type="dxa"/>
            <w:vAlign w:val="bottom"/>
          </w:tcPr>
          <w:p>
            <w:pPr>
              <w:spacing w:after="0"/>
              <w:rPr>
                <w:sz w:val="17"/>
                <w:szCs w:val="17"/>
                <w:color w:val="auto"/>
              </w:rPr>
            </w:pPr>
          </w:p>
        </w:tc>
        <w:tc>
          <w:tcPr>
            <w:tcW w:w="3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Statement filed with the SEC on July 7, 2023).</w:t>
              </w:r>
            </w:hyperlink>
          </w:p>
        </w:tc>
        <w:tc>
          <w:tcPr>
            <w:tcW w:w="676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Common Warrant (incorporated by reference to Exhibit 4.10 to the Company’s Amendment No. 2 to Form S-1 Registration</w:t>
              </w:r>
            </w:hyperlink>
          </w:p>
        </w:tc>
      </w:tr>
      <w:tr>
        <w:trPr>
          <w:trHeight w:val="196"/>
        </w:trPr>
        <w:tc>
          <w:tcPr>
            <w:tcW w:w="112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Statement, filed with the SEC on July 7, 2023).</w:t>
              </w:r>
            </w:hyperlink>
          </w:p>
        </w:tc>
        <w:tc>
          <w:tcPr>
            <w:tcW w:w="6720" w:type="dxa"/>
            <w:vAlign w:val="bottom"/>
            <w:gridSpan w:val="1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Warrant Amendment (incorporated by reference to Exhibit 4.</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0000EE"/>
                </w:rPr>
                <w:t xml:space="preserve"> to the Company’s Post-Effective Amendment No. 1 to Form S-1</w:t>
              </w:r>
            </w:hyperlink>
          </w:p>
        </w:tc>
      </w:tr>
      <w:tr>
        <w:trPr>
          <w:trHeight w:val="196"/>
        </w:trPr>
        <w:tc>
          <w:tcPr>
            <w:tcW w:w="1120" w:type="dxa"/>
            <w:vAlign w:val="bottom"/>
          </w:tcPr>
          <w:p>
            <w:pPr>
              <w:spacing w:after="0"/>
              <w:rPr>
                <w:sz w:val="17"/>
                <w:szCs w:val="17"/>
                <w:color w:val="auto"/>
              </w:rPr>
            </w:pPr>
          </w:p>
        </w:tc>
        <w:tc>
          <w:tcPr>
            <w:tcW w:w="4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Registration Statement, filed with the SEC on July 26, 2023).</w:t>
              </w:r>
            </w:hyperlink>
          </w:p>
        </w:tc>
        <w:tc>
          <w:tcPr>
            <w:tcW w:w="5700" w:type="dxa"/>
            <w:vAlign w:val="bottom"/>
            <w:gridSpan w:val="1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Form of Inducement Warrant (incorporated by reference to Exhibit 4.1 to the Company’s Current Report to Form 8-K filed with the SEC on</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September 14, 2023).</w:t>
              </w:r>
            </w:hyperlink>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Form of Pre-Funded Warrant (incorporated by reference to Exhibit 4.1 to the Company’s Form 8-K filed with the SEC on December 11,</w:t>
              </w:r>
            </w:hyperlink>
          </w:p>
        </w:tc>
      </w:tr>
      <w:tr>
        <w:trPr>
          <w:trHeight w:val="196"/>
        </w:trPr>
        <w:tc>
          <w:tcPr>
            <w:tcW w:w="1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68">
              <w:r>
                <w:rPr>
                  <w:rFonts w:ascii="Times New Roman" w:cs="Times New Roman" w:eastAsia="Times New Roman" w:hAnsi="Times New Roman"/>
                  <w:sz w:val="18"/>
                  <w:szCs w:val="18"/>
                  <w:color w:val="0000EE"/>
                  <w:w w:val="94"/>
                </w:rPr>
                <w:t>2023).</w:t>
              </w:r>
            </w:hyperlink>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00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Form of Series A Warrant (incorporated by reference to Exhibit 4.2 to the Company’s Form 8-K filed with the SEC on December 11, 2023).</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0120" w:type="dxa"/>
            <w:vAlign w:val="bottom"/>
            <w:gridSpan w:val="26"/>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Form of Series B Warrant (incorporated by reference to Exhibit 4.3 to the Company’s Form 8-K filed with the SEC on December 11, 2023).</w:t>
              </w:r>
            </w:hyperlink>
          </w:p>
        </w:tc>
      </w:tr>
      <w:tr>
        <w:trPr>
          <w:trHeight w:val="20"/>
        </w:trPr>
        <w:tc>
          <w:tcPr>
            <w:tcW w:w="11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Series A-1 Warrant (incorporated by reference to Exhibit 4.1 to the Company’s Current Report on Form 8-K filed with the SEC on</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August 1, 2024).</w:t>
              </w:r>
            </w:hyperlink>
          </w:p>
        </w:tc>
      </w:tr>
      <w:tr>
        <w:trPr>
          <w:trHeight w:val="20"/>
        </w:trPr>
        <w:tc>
          <w:tcPr>
            <w:tcW w:w="11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Series B-1 Warrant (incorporated by reference to Exhibit 4.2 to the Company’s Current Report on Form 8-K filed with the SEC on</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August 1, 2024).</w:t>
              </w:r>
            </w:hyperlink>
          </w:p>
        </w:tc>
      </w:tr>
      <w:tr>
        <w:trPr>
          <w:trHeight w:val="20"/>
        </w:trPr>
        <w:tc>
          <w:tcPr>
            <w:tcW w:w="11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Series A-2 Warrant (incorporated by reference to Exhibit 4.1 to the Company’s Current Report on Form 8-K filed with the SEC on</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November 6, 2024).</w:t>
              </w:r>
            </w:hyperlink>
          </w:p>
        </w:tc>
      </w:tr>
      <w:tr>
        <w:trPr>
          <w:trHeight w:val="20"/>
        </w:trPr>
        <w:tc>
          <w:tcPr>
            <w:tcW w:w="11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Description of the Company’s Securities (incorporated by reference to Exhibit 4.8 to the Company’s Annual Report on Form 10-K filed</w:t>
              </w:r>
            </w:hyperlink>
          </w:p>
        </w:tc>
      </w:tr>
      <w:tr>
        <w:trPr>
          <w:trHeight w:val="196"/>
        </w:trPr>
        <w:tc>
          <w:tcPr>
            <w:tcW w:w="112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with the SEC on March 25, 2024).</w:t>
              </w:r>
            </w:hyperlink>
          </w:p>
        </w:tc>
        <w:tc>
          <w:tcPr>
            <w:tcW w:w="7640" w:type="dxa"/>
            <w:vAlign w:val="bottom"/>
            <w:gridSpan w:val="2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License Agreement, dated April 18, 2019, by and between InflamaCORE, LLC and Variant Pharmaceuticals, Inc. (incorporated by</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reference to Exhibit 10.14 to the Company’s Form S-4 filed with the SEC on October 21, 2022).</w:t>
              </w:r>
            </w:hyperlink>
          </w:p>
        </w:tc>
      </w:tr>
      <w:tr>
        <w:trPr>
          <w:trHeight w:val="20"/>
        </w:trPr>
        <w:tc>
          <w:tcPr>
            <w:tcW w:w="1120" w:type="dxa"/>
            <w:vAlign w:val="bottom"/>
          </w:tcPr>
          <w:p>
            <w:pPr>
              <w:spacing w:after="0" w:line="20" w:lineRule="exact"/>
              <w:rPr>
                <w:sz w:val="1"/>
                <w:szCs w:val="1"/>
                <w:color w:val="auto"/>
              </w:rPr>
            </w:pPr>
          </w:p>
        </w:tc>
        <w:tc>
          <w:tcPr>
            <w:tcW w:w="3880" w:type="dxa"/>
            <w:vAlign w:val="bottom"/>
            <w:gridSpan w:val="10"/>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License Agreement, dated December 15, 2015, by and between L&amp;F Research LLC and Variant Pharmaceuticals, Inc. (incorporated by</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reference to Exhibit 10.15 to the Company’s Form S-4 filed with the SEC on October 21, 2022).</w:t>
              </w:r>
            </w:hyperlink>
          </w:p>
        </w:tc>
      </w:tr>
      <w:tr>
        <w:trPr>
          <w:trHeight w:val="20"/>
        </w:trPr>
        <w:tc>
          <w:tcPr>
            <w:tcW w:w="1120" w:type="dxa"/>
            <w:vAlign w:val="bottom"/>
          </w:tcPr>
          <w:p>
            <w:pPr>
              <w:spacing w:after="0" w:line="20" w:lineRule="exact"/>
              <w:rPr>
                <w:sz w:val="1"/>
                <w:szCs w:val="1"/>
                <w:color w:val="auto"/>
              </w:rPr>
            </w:pPr>
          </w:p>
        </w:tc>
        <w:tc>
          <w:tcPr>
            <w:tcW w:w="3880" w:type="dxa"/>
            <w:vAlign w:val="bottom"/>
            <w:gridSpan w:val="10"/>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First Amendment to License Agreement, dated January 9, 2020, by and between L&amp;F Research LLC and Variant Pharmaceuticals, Inc.</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(incorporated by reference to Exhibit 10.16 to the Company’s Form S-4 filed with the SEC on October 21, 2022).</w:t>
              </w:r>
            </w:hyperlink>
          </w:p>
        </w:tc>
      </w:tr>
      <w:tr>
        <w:trPr>
          <w:trHeight w:val="20"/>
        </w:trPr>
        <w:tc>
          <w:tcPr>
            <w:tcW w:w="1120" w:type="dxa"/>
            <w:vAlign w:val="bottom"/>
          </w:tcPr>
          <w:p>
            <w:pPr>
              <w:spacing w:after="0" w:line="20" w:lineRule="exact"/>
              <w:rPr>
                <w:sz w:val="1"/>
                <w:szCs w:val="1"/>
                <w:color w:val="auto"/>
              </w:rPr>
            </w:pPr>
          </w:p>
        </w:tc>
        <w:tc>
          <w:tcPr>
            <w:tcW w:w="3880" w:type="dxa"/>
            <w:vAlign w:val="bottom"/>
            <w:gridSpan w:val="10"/>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Second Amendment to Waiver of Certain Rights under License Agreement (incorporated by reference to Exhibit 10.1 to the Company’s</w:t>
              </w:r>
            </w:hyperlink>
          </w:p>
        </w:tc>
      </w:tr>
      <w:tr>
        <w:trPr>
          <w:trHeight w:val="196"/>
        </w:trPr>
        <w:tc>
          <w:tcPr>
            <w:tcW w:w="1120" w:type="dxa"/>
            <w:vAlign w:val="bottom"/>
          </w:tcPr>
          <w:p>
            <w:pPr>
              <w:spacing w:after="0"/>
              <w:rPr>
                <w:sz w:val="17"/>
                <w:szCs w:val="17"/>
                <w:color w:val="auto"/>
              </w:rPr>
            </w:pPr>
          </w:p>
        </w:tc>
        <w:tc>
          <w:tcPr>
            <w:tcW w:w="5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Current Report on Form 8-K filed with the SEC on December 23, 2022).</w:t>
              </w:r>
            </w:hyperlink>
          </w:p>
        </w:tc>
        <w:tc>
          <w:tcPr>
            <w:tcW w:w="4880" w:type="dxa"/>
            <w:vAlign w:val="bottom"/>
            <w:gridSpan w:val="1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Amendment and Restatement Agreement, by and between L&amp;F Research LLC and ZyVersa Therapeutics, Inc. (incorporated by reference to</w:t>
              </w:r>
            </w:hyperlink>
          </w:p>
        </w:tc>
      </w:tr>
      <w:tr>
        <w:trPr>
          <w:trHeight w:val="196"/>
        </w:trPr>
        <w:tc>
          <w:tcPr>
            <w:tcW w:w="1120" w:type="dxa"/>
            <w:vAlign w:val="bottom"/>
          </w:tcPr>
          <w:p>
            <w:pPr>
              <w:spacing w:after="0"/>
              <w:rPr>
                <w:sz w:val="17"/>
                <w:szCs w:val="17"/>
                <w:color w:val="auto"/>
              </w:rPr>
            </w:pP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Exhibit 10.1 to the Company’s Form 8-K filed with the SEC on March 3, 2023).</w:t>
              </w:r>
            </w:hyperlink>
          </w:p>
        </w:tc>
      </w:tr>
      <w:tr>
        <w:trPr>
          <w:trHeight w:val="20"/>
        </w:trPr>
        <w:tc>
          <w:tcPr>
            <w:tcW w:w="1120" w:type="dxa"/>
            <w:vAlign w:val="bottom"/>
          </w:tcPr>
          <w:p>
            <w:pPr>
              <w:spacing w:after="0" w:line="20" w:lineRule="exact"/>
              <w:rPr>
                <w:sz w:val="1"/>
                <w:szCs w:val="1"/>
                <w:color w:val="auto"/>
              </w:rPr>
            </w:pPr>
          </w:p>
        </w:tc>
        <w:tc>
          <w:tcPr>
            <w:tcW w:w="3880" w:type="dxa"/>
            <w:vAlign w:val="bottom"/>
            <w:gridSpan w:val="10"/>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ZyVersa Therapeutics, Inc. 2022 Omnibus Incentive Plan (incorporated by reference to Exhibit 10.10 to the Company’s Current Report on</w:t>
              </w:r>
            </w:hyperlink>
          </w:p>
        </w:tc>
      </w:tr>
      <w:tr>
        <w:trPr>
          <w:trHeight w:val="196"/>
        </w:trPr>
        <w:tc>
          <w:tcPr>
            <w:tcW w:w="112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Form 8-K filed with the SEC on December 13, 2022).</w:t>
              </w:r>
            </w:hyperlink>
          </w:p>
        </w:tc>
        <w:tc>
          <w:tcPr>
            <w:tcW w:w="6240" w:type="dxa"/>
            <w:vAlign w:val="bottom"/>
            <w:gridSpan w:val="1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1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Amended and Restated ZyVersa Therapeutics, Inc. 2022 Omnibus Equity Incentive Plan (incorporated by reference to Exhibit 10.1 to the</w:t>
              </w:r>
            </w:hyperlink>
          </w:p>
        </w:tc>
      </w:tr>
      <w:tr>
        <w:trPr>
          <w:trHeight w:val="196"/>
        </w:trPr>
        <w:tc>
          <w:tcPr>
            <w:tcW w:w="1120" w:type="dxa"/>
            <w:vAlign w:val="bottom"/>
          </w:tcPr>
          <w:p>
            <w:pPr>
              <w:spacing w:after="0"/>
              <w:rPr>
                <w:sz w:val="17"/>
                <w:szCs w:val="17"/>
                <w:color w:val="auto"/>
              </w:rPr>
            </w:pPr>
          </w:p>
        </w:tc>
        <w:tc>
          <w:tcPr>
            <w:tcW w:w="5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Company’s Current Report on Form 8-K filed with the SEC on October 30, 2024).</w:t>
              </w:r>
            </w:hyperlink>
          </w:p>
        </w:tc>
        <w:tc>
          <w:tcPr>
            <w:tcW w:w="4180" w:type="dxa"/>
            <w:vAlign w:val="bottom"/>
            <w:gridSpan w:val="1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120" w:type="dxa"/>
            <w:vAlign w:val="bottom"/>
            <w:gridSpan w:val="2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Incentive Stock Option Grant Agreement under the Combined Entity 2022 Omnibus Incentive Plan (incorporated by reference to</w:t>
              </w:r>
            </w:hyperlink>
          </w:p>
        </w:tc>
      </w:tr>
      <w:tr>
        <w:trPr>
          <w:trHeight w:val="196"/>
        </w:trPr>
        <w:tc>
          <w:tcPr>
            <w:tcW w:w="1120" w:type="dxa"/>
            <w:vAlign w:val="bottom"/>
          </w:tcPr>
          <w:p>
            <w:pPr>
              <w:spacing w:after="0"/>
              <w:rPr>
                <w:sz w:val="17"/>
                <w:szCs w:val="17"/>
                <w:color w:val="auto"/>
              </w:rPr>
            </w:pPr>
          </w:p>
        </w:tc>
        <w:tc>
          <w:tcPr>
            <w:tcW w:w="101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Exhibit 10.6.1 to the Company’s Form S-4 filed with the SEC on September 27, 2022).</w:t>
              </w:r>
            </w:hyperlink>
          </w:p>
        </w:tc>
        <w:tc>
          <w:tcPr>
            <w:tcW w:w="20" w:type="dxa"/>
            <w:vAlign w:val="bottom"/>
          </w:tcPr>
          <w:p>
            <w:pPr>
              <w:spacing w:after="0"/>
              <w:rPr>
                <w:sz w:val="17"/>
                <w:szCs w:val="17"/>
                <w:color w:val="auto"/>
              </w:rPr>
            </w:pPr>
          </w:p>
        </w:tc>
      </w:tr>
      <w:tr>
        <w:trPr>
          <w:trHeight w:val="479"/>
        </w:trPr>
        <w:tc>
          <w:tcPr>
            <w:tcW w:w="1120" w:type="dxa"/>
            <w:vAlign w:val="bottom"/>
            <w:tcBorders>
              <w:bottom w:val="single" w:sz="8" w:color="auto"/>
            </w:tcBorders>
          </w:tcPr>
          <w:p>
            <w:pPr>
              <w:spacing w:after="0"/>
              <w:rPr>
                <w:sz w:val="24"/>
                <w:szCs w:val="24"/>
                <w:color w:val="auto"/>
              </w:rPr>
            </w:pPr>
          </w:p>
        </w:tc>
        <w:tc>
          <w:tcPr>
            <w:tcW w:w="5240" w:type="dxa"/>
            <w:vAlign w:val="bottom"/>
            <w:tcBorders>
              <w:top w:val="single" w:sz="8" w:color="0000EE"/>
              <w:bottom w:val="single" w:sz="8" w:color="auto"/>
            </w:tcBorders>
            <w:gridSpan w:val="13"/>
          </w:tcPr>
          <w:p>
            <w:pPr>
              <w:ind w:left="438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Restricted Stock Unit Award Agreement under the Combined Entity 2022 Omnibus Incentive Plan (incorporated by reference to</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Exhibit 10.6.2 to the Company’s Form S-4 filed with the SEC on September 27, 2022).</w:t>
              </w:r>
            </w:hyperlink>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Form of Non-Qualified Stock Option Grant Agreement under the Combined Entity 2022 Omnibus Incentive Plan (incorporated by reference</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to Exhibit 10.6.3 to the Company’s Form S-4 filed with the SEC on September 27, 2022).</w:t>
              </w:r>
            </w:hyperlink>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Variant Pharmaceuticals, Inc. 2014 Equity Incentive Plan (incorporated by reference to Exhibit 10.7 to the Company’s Form S-4 filed with</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the SEC on September 27, 2022).</w:t>
              </w:r>
            </w:hyperlink>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Amendment to Variant Pharmaceuticals, Inc. 2014 Equity Incentive Plan (incorporated by reference to Exhibit 10.20 to the Company’s</w:t>
              </w:r>
            </w:hyperlink>
          </w:p>
        </w:tc>
      </w:tr>
      <w:tr>
        <w:trPr>
          <w:trHeight w:val="196"/>
        </w:trPr>
        <w:tc>
          <w:tcPr>
            <w:tcW w:w="1120" w:type="dxa"/>
            <w:vAlign w:val="bottom"/>
          </w:tcPr>
          <w:p>
            <w:pPr>
              <w:spacing w:after="0"/>
              <w:rPr>
                <w:sz w:val="17"/>
                <w:szCs w:val="17"/>
                <w:color w:val="auto"/>
              </w:rPr>
            </w:pPr>
          </w:p>
        </w:tc>
        <w:tc>
          <w:tcPr>
            <w:tcW w:w="5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Current Report on Form 8-K filed with the SEC on December 13, 2022).</w:t>
              </w:r>
            </w:hyperlink>
          </w:p>
        </w:tc>
        <w:tc>
          <w:tcPr>
            <w:tcW w:w="4880" w:type="dxa"/>
            <w:vAlign w:val="bottom"/>
            <w:gridSpan w:val="1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Indemnification Agreement by and between the Company and each of its officers and directors (incorporated by reference to</w:t>
              </w:r>
            </w:hyperlink>
          </w:p>
        </w:tc>
      </w:tr>
      <w:tr>
        <w:trPr>
          <w:trHeight w:val="196"/>
        </w:trPr>
        <w:tc>
          <w:tcPr>
            <w:tcW w:w="1120" w:type="dxa"/>
            <w:vAlign w:val="bottom"/>
          </w:tcPr>
          <w:p>
            <w:pPr>
              <w:spacing w:after="0"/>
              <w:rPr>
                <w:sz w:val="17"/>
                <w:szCs w:val="17"/>
                <w:color w:val="auto"/>
              </w:rPr>
            </w:pPr>
          </w:p>
        </w:tc>
        <w:tc>
          <w:tcPr>
            <w:tcW w:w="7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Exhibit 10.15 to the Company’s Current Report on Form 8-K filed with the SEC on December 13, 2022).</w:t>
              </w:r>
            </w:hyperlink>
          </w:p>
        </w:tc>
        <w:tc>
          <w:tcPr>
            <w:tcW w:w="2540" w:type="dxa"/>
            <w:vAlign w:val="bottom"/>
            <w:gridSpan w:val="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Executive Employment Agreement, by and between the Company and Stephen Glover (incorporated by reference to Exhibit 10.16 to the</w:t>
              </w:r>
            </w:hyperlink>
          </w:p>
        </w:tc>
      </w:tr>
      <w:tr>
        <w:trPr>
          <w:trHeight w:val="196"/>
        </w:trPr>
        <w:tc>
          <w:tcPr>
            <w:tcW w:w="1120" w:type="dxa"/>
            <w:vAlign w:val="bottom"/>
          </w:tcPr>
          <w:p>
            <w:pPr>
              <w:spacing w:after="0"/>
              <w:rPr>
                <w:sz w:val="17"/>
                <w:szCs w:val="17"/>
                <w:color w:val="auto"/>
              </w:rPr>
            </w:pPr>
          </w:p>
        </w:tc>
        <w:tc>
          <w:tcPr>
            <w:tcW w:w="6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Company’s Current Report on Form 8-K filed with the SEC on December 13, 2022).</w:t>
              </w:r>
            </w:hyperlink>
          </w:p>
        </w:tc>
        <w:tc>
          <w:tcPr>
            <w:tcW w:w="4020" w:type="dxa"/>
            <w:vAlign w:val="bottom"/>
            <w:gridSpan w:val="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Executive Employment Agreement, by and between the Company and Karen A. Cashmere (incorporated by reference to Exhibit 10.18 to</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the Company’s Current Report on Form 8-K filed with the SEC on December 13, 2022).</w:t>
              </w:r>
            </w:hyperlink>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Executive Employment Agreement, by and between the Company and Peter Wolfe (incorporated by reference to Exhibit 10.19 to the</w:t>
              </w:r>
            </w:hyperlink>
          </w:p>
        </w:tc>
      </w:tr>
      <w:tr>
        <w:trPr>
          <w:trHeight w:val="196"/>
        </w:trPr>
        <w:tc>
          <w:tcPr>
            <w:tcW w:w="1120" w:type="dxa"/>
            <w:vAlign w:val="bottom"/>
          </w:tcPr>
          <w:p>
            <w:pPr>
              <w:spacing w:after="0"/>
              <w:rPr>
                <w:sz w:val="17"/>
                <w:szCs w:val="17"/>
                <w:color w:val="auto"/>
              </w:rPr>
            </w:pPr>
          </w:p>
        </w:tc>
        <w:tc>
          <w:tcPr>
            <w:tcW w:w="6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Company’s Current Report on Form 8-K filed with the SEC on December 13, 2022).</w:t>
              </w:r>
            </w:hyperlink>
          </w:p>
        </w:tc>
        <w:tc>
          <w:tcPr>
            <w:tcW w:w="4020" w:type="dxa"/>
            <w:vAlign w:val="bottom"/>
            <w:gridSpan w:val="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Executive Employment Agreement by and between the Company and Pablo Guzman, M.D. (incorporated by reference to Exhibit 10.21 to</w:t>
              </w:r>
            </w:hyperlink>
          </w:p>
        </w:tc>
      </w:tr>
      <w:tr>
        <w:trPr>
          <w:trHeight w:val="196"/>
        </w:trPr>
        <w:tc>
          <w:tcPr>
            <w:tcW w:w="1120" w:type="dxa"/>
            <w:vAlign w:val="bottom"/>
          </w:tcPr>
          <w:p>
            <w:pPr>
              <w:spacing w:after="0"/>
              <w:rPr>
                <w:sz w:val="17"/>
                <w:szCs w:val="17"/>
                <w:color w:val="auto"/>
              </w:rPr>
            </w:pPr>
          </w:p>
        </w:tc>
        <w:tc>
          <w:tcPr>
            <w:tcW w:w="6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the Company’s Registration Statement on Form S-1 filed with the SEC on January 27, 2023).</w:t>
              </w:r>
            </w:hyperlink>
          </w:p>
        </w:tc>
        <w:tc>
          <w:tcPr>
            <w:tcW w:w="3400" w:type="dxa"/>
            <w:vAlign w:val="bottom"/>
            <w:gridSpan w:val="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Inducement Letter, dated August 1, 2024 (incorporated by reference to Exhibit 10.1 to the Company’s Current Report on Form 8-K filed</w:t>
              </w:r>
            </w:hyperlink>
          </w:p>
        </w:tc>
      </w:tr>
      <w:tr>
        <w:trPr>
          <w:trHeight w:val="196"/>
        </w:trPr>
        <w:tc>
          <w:tcPr>
            <w:tcW w:w="112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with the SEC on August 1, 2024).</w:t>
              </w:r>
            </w:hyperlink>
          </w:p>
        </w:tc>
        <w:tc>
          <w:tcPr>
            <w:tcW w:w="7680" w:type="dxa"/>
            <w:vAlign w:val="bottom"/>
            <w:gridSpan w:val="1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Financial Advisory Agreement, dated August 1, 2024 (incorporated by reference to Exhibit 10.2 to the Company Current Report on Form 8-</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K filed with the SEC on August 1, 2024).</w:t>
              </w:r>
            </w:hyperlink>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Inducement Letter, dated November 5, 2024 (incorporated by reference to Exhibit 10.1 to the Company’s Current Report on Form 8-K filed</w:t>
              </w:r>
            </w:hyperlink>
          </w:p>
        </w:tc>
      </w:tr>
      <w:tr>
        <w:trPr>
          <w:trHeight w:val="196"/>
        </w:trPr>
        <w:tc>
          <w:tcPr>
            <w:tcW w:w="112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with the SEC on November 6, 2024).</w:t>
              </w:r>
            </w:hyperlink>
          </w:p>
        </w:tc>
        <w:tc>
          <w:tcPr>
            <w:tcW w:w="7440" w:type="dxa"/>
            <w:vAlign w:val="bottom"/>
            <w:gridSpan w:val="1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Financial Advisory Agreement, dated November 5, 2024 (incorporated by reference to Exhibit 10.2 to the Company’s Current Report on</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8-K filed with the SEC on November 6, 2024).</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 and Procedures.</w:t>
            </w:r>
          </w:p>
        </w:tc>
        <w:tc>
          <w:tcPr>
            <w:tcW w:w="820" w:type="dxa"/>
            <w:vAlign w:val="bottom"/>
            <w:tcBorders>
              <w:top w:val="single" w:sz="8" w:color="0000EE"/>
            </w:tcBorders>
            <w:gridSpan w:val="2"/>
          </w:tcPr>
          <w:p>
            <w:pPr>
              <w:spacing w:after="0"/>
              <w:rPr>
                <w:sz w:val="17"/>
                <w:szCs w:val="17"/>
                <w:color w:val="auto"/>
              </w:rPr>
            </w:pPr>
          </w:p>
        </w:tc>
        <w:tc>
          <w:tcPr>
            <w:tcW w:w="6320" w:type="dxa"/>
            <w:vAlign w:val="bottom"/>
            <w:gridSpan w:val="1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Subsidiaries of the Company (incorporated by reference to Exhibit 21.1 to the Company’s Current Report on Form 8-K filed with the SEC</w:t>
              </w:r>
            </w:hyperlink>
          </w:p>
        </w:tc>
      </w:tr>
      <w:tr>
        <w:trPr>
          <w:trHeight w:val="196"/>
        </w:trPr>
        <w:tc>
          <w:tcPr>
            <w:tcW w:w="1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on December 13, 2022).</w:t>
              </w:r>
            </w:hyperlink>
          </w:p>
        </w:tc>
        <w:tc>
          <w:tcPr>
            <w:tcW w:w="836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Marcum LLP</w:t>
            </w:r>
          </w:p>
        </w:tc>
        <w:tc>
          <w:tcPr>
            <w:tcW w:w="8320" w:type="dxa"/>
            <w:vAlign w:val="bottom"/>
            <w:gridSpan w:val="1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1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w:t>
            </w:r>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or Rule 15d-14(a).</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1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or Rule 15d-14(a).</w:t>
            </w:r>
          </w:p>
        </w:tc>
        <w:tc>
          <w:tcPr>
            <w:tcW w:w="80" w:type="dxa"/>
            <w:vAlign w:val="bottom"/>
            <w:tcBorders>
              <w:top w:val="single" w:sz="8" w:color="0000EE"/>
            </w:tcBorders>
          </w:tcPr>
          <w:p>
            <w:pPr>
              <w:spacing w:after="0"/>
              <w:rPr>
                <w:sz w:val="17"/>
                <w:szCs w:val="17"/>
                <w:color w:val="auto"/>
              </w:rPr>
            </w:pPr>
          </w:p>
        </w:tc>
        <w:tc>
          <w:tcPr>
            <w:tcW w:w="3860" w:type="dxa"/>
            <w:vAlign w:val="bottom"/>
            <w:gridSpan w:val="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5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w:t>
            </w:r>
          </w:p>
        </w:tc>
        <w:tc>
          <w:tcPr>
            <w:tcW w:w="2580" w:type="dxa"/>
            <w:vAlign w:val="bottom"/>
            <w:gridSpan w:val="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Compensation Recovery Policy (incorporated by reference to Exhibit 97.1 to the Company’s Annual Report on Form 10-K/A filed with the</w:t>
              </w:r>
            </w:hyperlink>
          </w:p>
        </w:tc>
      </w:tr>
      <w:tr>
        <w:trPr>
          <w:trHeight w:val="196"/>
        </w:trPr>
        <w:tc>
          <w:tcPr>
            <w:tcW w:w="1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SEC on May 15, 2024).</w:t>
              </w:r>
            </w:hyperlink>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8420" w:type="dxa"/>
            <w:vAlign w:val="bottom"/>
            <w:gridSpan w:val="19"/>
          </w:tcPr>
          <w:p>
            <w:pPr>
              <w:spacing w:after="0" w:line="20" w:lineRule="exact"/>
              <w:rPr>
                <w:sz w:val="1"/>
                <w:szCs w:val="1"/>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Inline Instance Document (the instance document does not appear in the Interactive Data File because its XBRL tags are embedded</w:t>
            </w:r>
          </w:p>
        </w:tc>
      </w:tr>
      <w:tr>
        <w:trPr>
          <w:trHeight w:val="216"/>
        </w:trPr>
        <w:tc>
          <w:tcPr>
            <w:tcW w:w="1120" w:type="dxa"/>
            <w:vAlign w:val="bottom"/>
          </w:tcPr>
          <w:p>
            <w:pPr>
              <w:spacing w:after="0"/>
              <w:rPr>
                <w:sz w:val="18"/>
                <w:szCs w:val="18"/>
                <w:color w:val="auto"/>
              </w:rPr>
            </w:pP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bl>
    <w:p>
      <w:pPr>
        <w:spacing w:after="0" w:line="198"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340" w:right="20" w:hanging="332"/>
        <w:spacing w:after="0" w:line="25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Registrant agrees to furnish supplementally a copy of any omitted schedule or exhibit to the SEC upon its request.</w:t>
      </w:r>
    </w:p>
    <w:p>
      <w:pPr>
        <w:spacing w:after="0" w:line="1"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in accordance with Regulation S-K Item 601(b)(10). The Registrant agrees to furnish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supplementally an unredacted copy of this Exhibit to the SEC upon its request.</w:t>
      </w:r>
    </w:p>
    <w:p>
      <w:pPr>
        <w:spacing w:after="0" w:line="9"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jc w:val="both"/>
        <w:ind w:left="340" w:hanging="332"/>
        <w:spacing w:after="0" w:line="255"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and 15(d) of the Securities Exchange Act of 1934, the registrant has duly caused this Annual Report on Form 10-K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ZYVERSA THERAPEUTICS, INC.</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25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C. Glover</w:t>
            </w:r>
          </w:p>
        </w:tc>
      </w:tr>
      <w:tr>
        <w:trPr>
          <w:trHeight w:val="191"/>
        </w:trPr>
        <w:tc>
          <w:tcPr>
            <w:tcW w:w="3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4"/>
        </w:trPr>
        <w:tc>
          <w:tcPr>
            <w:tcW w:w="3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25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Wolfe</w:t>
            </w:r>
          </w:p>
        </w:tc>
      </w:tr>
      <w:tr>
        <w:trPr>
          <w:trHeight w:val="191"/>
        </w:trPr>
        <w:tc>
          <w:tcPr>
            <w:tcW w:w="3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4"/>
        </w:trPr>
        <w:tc>
          <w:tcPr>
            <w:tcW w:w="3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432"/>
        </w:trPr>
        <w:tc>
          <w:tcPr>
            <w:tcW w:w="3100" w:type="dxa"/>
            <w:vAlign w:val="bottom"/>
          </w:tcPr>
          <w:p>
            <w:pPr>
              <w:spacing w:after="0"/>
              <w:rPr>
                <w:sz w:val="24"/>
                <w:szCs w:val="24"/>
                <w:color w:val="auto"/>
              </w:rPr>
            </w:pPr>
          </w:p>
        </w:tc>
        <w:tc>
          <w:tcPr>
            <w:tcW w:w="81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Stephen C. Glover and Peter Wolfe,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Stephen C. Glover</w:t>
            </w:r>
          </w:p>
        </w:tc>
        <w:tc>
          <w:tcPr>
            <w:tcW w:w="240" w:type="dxa"/>
            <w:vAlign w:val="bottom"/>
          </w:tcPr>
          <w:p>
            <w:pPr>
              <w:spacing w:after="0"/>
              <w:rPr>
                <w:sz w:val="24"/>
                <w:szCs w:val="24"/>
                <w:color w:val="auto"/>
              </w:rPr>
            </w:pPr>
          </w:p>
        </w:tc>
        <w:tc>
          <w:tcPr>
            <w:tcW w:w="6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President and 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C. Glover</w:t>
            </w:r>
          </w:p>
        </w:tc>
        <w:tc>
          <w:tcPr>
            <w:tcW w:w="240" w:type="dxa"/>
            <w:vAlign w:val="bottom"/>
          </w:tcPr>
          <w:p>
            <w:pPr>
              <w:spacing w:after="0"/>
              <w:rPr>
                <w:sz w:val="19"/>
                <w:szCs w:val="19"/>
                <w:color w:val="auto"/>
              </w:rPr>
            </w:pPr>
          </w:p>
        </w:tc>
        <w:tc>
          <w:tcPr>
            <w:tcW w:w="6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Peter Wolfe</w:t>
            </w:r>
          </w:p>
        </w:tc>
        <w:tc>
          <w:tcPr>
            <w:tcW w:w="240" w:type="dxa"/>
            <w:vAlign w:val="bottom"/>
          </w:tcPr>
          <w:p>
            <w:pPr>
              <w:spacing w:after="0"/>
              <w:rPr>
                <w:sz w:val="24"/>
                <w:szCs w:val="24"/>
                <w:color w:val="auto"/>
              </w:rPr>
            </w:pPr>
          </w:p>
        </w:tc>
        <w:tc>
          <w:tcPr>
            <w:tcW w:w="6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and Secretary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Peter Wolfe</w:t>
            </w:r>
          </w:p>
        </w:tc>
        <w:tc>
          <w:tcPr>
            <w:tcW w:w="240" w:type="dxa"/>
            <w:vAlign w:val="bottom"/>
          </w:tcPr>
          <w:p>
            <w:pPr>
              <w:spacing w:after="0"/>
              <w:rPr>
                <w:sz w:val="19"/>
                <w:szCs w:val="19"/>
                <w:color w:val="auto"/>
              </w:rPr>
            </w:pPr>
          </w:p>
        </w:tc>
        <w:tc>
          <w:tcPr>
            <w:tcW w:w="6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02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G. Finizio</w:t>
            </w:r>
          </w:p>
        </w:tc>
        <w:tc>
          <w:tcPr>
            <w:tcW w:w="240" w:type="dxa"/>
            <w:vAlign w:val="bottom"/>
          </w:tcPr>
          <w:p>
            <w:pPr>
              <w:spacing w:after="0"/>
              <w:rPr>
                <w:sz w:val="24"/>
                <w:szCs w:val="24"/>
                <w:color w:val="auto"/>
              </w:rPr>
            </w:pPr>
          </w:p>
        </w:tc>
        <w:tc>
          <w:tcPr>
            <w:tcW w:w="6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G. Finizio</w:t>
            </w:r>
          </w:p>
        </w:tc>
        <w:tc>
          <w:tcPr>
            <w:tcW w:w="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Min Chul Park, Ph.D.</w:t>
            </w:r>
          </w:p>
        </w:tc>
        <w:tc>
          <w:tcPr>
            <w:tcW w:w="240" w:type="dxa"/>
            <w:vAlign w:val="bottom"/>
          </w:tcPr>
          <w:p>
            <w:pPr>
              <w:spacing w:after="0"/>
              <w:rPr>
                <w:sz w:val="24"/>
                <w:szCs w:val="24"/>
                <w:color w:val="auto"/>
              </w:rPr>
            </w:pPr>
          </w:p>
        </w:tc>
        <w:tc>
          <w:tcPr>
            <w:tcW w:w="6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 Chul Park, Ph.D.</w:t>
            </w:r>
          </w:p>
        </w:tc>
        <w:tc>
          <w:tcPr>
            <w:tcW w:w="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James Sapirstein</w:t>
            </w:r>
          </w:p>
        </w:tc>
        <w:tc>
          <w:tcPr>
            <w:tcW w:w="240" w:type="dxa"/>
            <w:vAlign w:val="bottom"/>
          </w:tcPr>
          <w:p>
            <w:pPr>
              <w:spacing w:after="0"/>
              <w:rPr>
                <w:sz w:val="24"/>
                <w:szCs w:val="24"/>
                <w:color w:val="auto"/>
              </w:rPr>
            </w:pPr>
          </w:p>
        </w:tc>
        <w:tc>
          <w:tcPr>
            <w:tcW w:w="6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Sapirstein</w:t>
            </w:r>
          </w:p>
        </w:tc>
        <w:tc>
          <w:tcPr>
            <w:tcW w:w="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Gregory Frietag</w:t>
            </w:r>
          </w:p>
        </w:tc>
        <w:tc>
          <w:tcPr>
            <w:tcW w:w="240" w:type="dxa"/>
            <w:vAlign w:val="bottom"/>
          </w:tcPr>
          <w:p>
            <w:pPr>
              <w:spacing w:after="0"/>
              <w:rPr>
                <w:sz w:val="24"/>
                <w:szCs w:val="24"/>
                <w:color w:val="auto"/>
              </w:rPr>
            </w:pPr>
          </w:p>
        </w:tc>
        <w:tc>
          <w:tcPr>
            <w:tcW w:w="6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Gregory Frietag</w:t>
            </w:r>
          </w:p>
        </w:tc>
        <w:tc>
          <w:tcPr>
            <w:tcW w:w="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7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2"/>
          </w:tcPr>
          <w:p>
            <w:pPr>
              <w:jc w:val="right"/>
              <w:ind w:right="317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18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r>
      <w:tr>
        <w:trPr>
          <w:trHeight w:val="196"/>
        </w:trPr>
        <w:tc>
          <w:tcPr>
            <w:tcW w:w="93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r>
      <w:tr>
        <w:trPr>
          <w:trHeight w:val="196"/>
        </w:trPr>
        <w:tc>
          <w:tcPr>
            <w:tcW w:w="93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r>
      <w:tr>
        <w:trPr>
          <w:trHeight w:val="196"/>
        </w:trPr>
        <w:tc>
          <w:tcPr>
            <w:tcW w:w="93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Changes in Stockholders’ Equity for the Years Ended December 31,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r>
      <w:tr>
        <w:trPr>
          <w:trHeight w:val="196"/>
        </w:trPr>
        <w:tc>
          <w:tcPr>
            <w:tcW w:w="93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r>
      <w:tr>
        <w:trPr>
          <w:trHeight w:val="196"/>
        </w:trPr>
        <w:tc>
          <w:tcPr>
            <w:tcW w:w="93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432"/>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720" w:type="dxa"/>
            <w:vAlign w:val="bottom"/>
            <w:tcBorders>
              <w:top w:val="single" w:sz="8" w:color="CCEEFF"/>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18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1" w:name="page122"/>
    <w:bookmarkEnd w:id="12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ZyVersa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Zyversa Therapeutics, Inc. (the “Company”) as of December 31, 2024 and 2023 the related consolidated statements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stockholders’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1,530,924</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3,137,674</w:t>
            </w:r>
          </w:p>
        </w:tc>
        <w:tc>
          <w:tcPr>
            <w:tcW w:w="80" w:type="dxa"/>
            <w:vAlign w:val="bottom"/>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184,873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215,459</w:t>
            </w:r>
          </w:p>
        </w:tc>
        <w:tc>
          <w:tcPr>
            <w:tcW w:w="80" w:type="dxa"/>
            <w:vAlign w:val="bottom"/>
          </w:tcPr>
          <w:p>
            <w:pPr>
              <w:spacing w:after="0"/>
              <w:rPr>
                <w:sz w:val="19"/>
                <w:szCs w:val="19"/>
                <w:color w:val="auto"/>
              </w:rPr>
            </w:pPr>
          </w:p>
        </w:tc>
      </w:tr>
      <w:tr>
        <w:trPr>
          <w:trHeight w:val="209"/>
        </w:trPr>
        <w:tc>
          <w:tcPr>
            <w:tcW w:w="67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1,715,797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18,647,903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18,647,903</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Vendor deposit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178,476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98,476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57,238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7,839</w:t>
            </w:r>
          </w:p>
        </w:tc>
        <w:tc>
          <w:tcPr>
            <w:tcW w:w="80" w:type="dxa"/>
            <w:vAlign w:val="bottom"/>
          </w:tcPr>
          <w:p>
            <w:pPr>
              <w:spacing w:after="0"/>
              <w:rPr>
                <w:sz w:val="19"/>
                <w:szCs w:val="19"/>
                <w:color w:val="auto"/>
              </w:rPr>
            </w:pPr>
          </w:p>
        </w:tc>
      </w:tr>
      <w:tr>
        <w:trPr>
          <w:trHeight w:val="223"/>
        </w:trPr>
        <w:tc>
          <w:tcPr>
            <w:tcW w:w="67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20,599,414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22,114,284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9,337,267</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8,431,583</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1,894,041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1,754,533</w:t>
            </w:r>
          </w:p>
        </w:tc>
        <w:tc>
          <w:tcPr>
            <w:tcW w:w="80" w:type="dxa"/>
            <w:vAlign w:val="bottom"/>
          </w:tcPr>
          <w:p>
            <w:pPr>
              <w:spacing w:after="0"/>
              <w:rPr>
                <w:sz w:val="18"/>
                <w:szCs w:val="18"/>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8,656</w:t>
            </w:r>
          </w:p>
        </w:tc>
        <w:tc>
          <w:tcPr>
            <w:tcW w:w="80" w:type="dxa"/>
            <w:vAlign w:val="bottom"/>
            <w:shd w:val="clear" w:color="auto" w:fill="CCEEFF"/>
          </w:tcPr>
          <w:p>
            <w:pPr>
              <w:spacing w:after="0"/>
              <w:rPr>
                <w:sz w:val="19"/>
                <w:szCs w:val="19"/>
                <w:color w:val="auto"/>
              </w:rPr>
            </w:pPr>
          </w:p>
        </w:tc>
      </w:tr>
      <w:tr>
        <w:trPr>
          <w:trHeight w:val="209"/>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11,231,308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10,194,772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851,659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844,914</w:t>
            </w:r>
          </w:p>
        </w:tc>
        <w:tc>
          <w:tcPr>
            <w:tcW w:w="80" w:type="dxa"/>
            <w:vAlign w:val="bottom"/>
            <w:shd w:val="clear" w:color="auto" w:fill="CCEEFF"/>
          </w:tcPr>
          <w:p>
            <w:pPr>
              <w:spacing w:after="0"/>
              <w:rPr>
                <w:sz w:val="19"/>
                <w:szCs w:val="19"/>
                <w:color w:val="auto"/>
              </w:rPr>
            </w:pPr>
          </w:p>
        </w:tc>
      </w:tr>
      <w:tr>
        <w:trPr>
          <w:trHeight w:val="210"/>
        </w:trPr>
        <w:tc>
          <w:tcPr>
            <w:tcW w:w="6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12,082,967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11,039,686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2024 and 2023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6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2024 and 2023</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2,508,198 and 405,212 shares issued at December 31, 2024 and 2023,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and 2,508,191 and 402,205 shares outstanding as of</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121,155,922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114,300,849</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(112,632,559)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(103,219,124)</w:t>
            </w: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7 shares at December 31, 2024 and 2023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(7,168)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10"/>
        </w:trPr>
        <w:tc>
          <w:tcPr>
            <w:tcW w:w="67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8,516,447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11,074,598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20,599,414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22,114,284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1,779,275</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3,207,573</w:t>
            </w: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7,357,559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11,213,201</w:t>
            </w:r>
          </w:p>
        </w:tc>
        <w:tc>
          <w:tcPr>
            <w:tcW w:w="8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81,438,426</w:t>
            </w:r>
          </w:p>
        </w:tc>
        <w:tc>
          <w:tcPr>
            <w:tcW w:w="80" w:type="dxa"/>
            <w:vAlign w:val="bottom"/>
          </w:tcPr>
          <w:p>
            <w:pPr>
              <w:spacing w:after="0"/>
              <w:rPr>
                <w:sz w:val="18"/>
                <w:szCs w:val="18"/>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11,895,033</w:t>
            </w:r>
          </w:p>
        </w:tc>
        <w:tc>
          <w:tcPr>
            <w:tcW w:w="80" w:type="dxa"/>
            <w:vAlign w:val="bottom"/>
            <w:shd w:val="clear" w:color="auto" w:fill="CCEEFF"/>
          </w:tcPr>
          <w:p>
            <w:pPr>
              <w:spacing w:after="0"/>
              <w:rPr>
                <w:sz w:val="19"/>
                <w:szCs w:val="19"/>
                <w:color w:val="auto"/>
              </w:rPr>
            </w:pPr>
          </w:p>
        </w:tc>
      </w:tr>
      <w:tr>
        <w:trPr>
          <w:trHeight w:val="209"/>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9,136,834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107,754,233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(9,136,834)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(107,754,233)</w:t>
            </w:r>
          </w:p>
        </w:tc>
        <w:tc>
          <w:tcPr>
            <w:tcW w:w="100" w:type="dxa"/>
            <w:vAlign w:val="bottom"/>
            <w:gridSpan w:val="2"/>
            <w:shd w:val="clear" w:color="auto" w:fill="CCEEFF"/>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269,856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09"/>
        </w:trPr>
        <w:tc>
          <w:tcPr>
            <w:tcW w:w="58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Pre-Tax Loss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(9,406,690)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(107,753,776)</w:t>
            </w:r>
          </w:p>
        </w:tc>
      </w:tr>
      <w:tr>
        <w:trPr>
          <w:trHeight w:val="230"/>
        </w:trPr>
        <w:tc>
          <w:tcPr>
            <w:tcW w:w="5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9,455,830</w:t>
            </w:r>
          </w:p>
        </w:tc>
        <w:tc>
          <w:tcPr>
            <w:tcW w:w="80" w:type="dxa"/>
            <w:vAlign w:val="bottom"/>
            <w:shd w:val="clear" w:color="auto" w:fill="CCEEFF"/>
          </w:tcPr>
          <w:p>
            <w:pPr>
              <w:spacing w:after="0"/>
              <w:rPr>
                <w:sz w:val="19"/>
                <w:szCs w:val="19"/>
                <w:color w:val="auto"/>
              </w:rPr>
            </w:pPr>
          </w:p>
        </w:tc>
      </w:tr>
      <w:tr>
        <w:trPr>
          <w:trHeight w:val="20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(9,413,435)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(98,297,946)</w:t>
            </w:r>
          </w:p>
        </w:tc>
        <w:tc>
          <w:tcPr>
            <w:tcW w:w="100" w:type="dxa"/>
            <w:vAlign w:val="bottom"/>
            <w:gridSpan w:val="2"/>
          </w:tcPr>
          <w:p>
            <w:pPr>
              <w:spacing w:after="0"/>
              <w:rPr>
                <w:sz w:val="18"/>
                <w:szCs w:val="18"/>
                <w:color w:val="auto"/>
              </w:rPr>
            </w:pPr>
          </w:p>
        </w:tc>
      </w:tr>
      <w:tr>
        <w:trPr>
          <w:trHeight w:val="229"/>
        </w:trPr>
        <w:tc>
          <w:tcPr>
            <w:tcW w:w="5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(7,948,209)</w:t>
            </w:r>
          </w:p>
        </w:tc>
      </w:tr>
      <w:tr>
        <w:trPr>
          <w:trHeight w:val="263"/>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14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(9,413,435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(106,246,155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2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(8.48)</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(1,089.70)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1,110,033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8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1180" w:type="dxa"/>
            <w:vAlign w:val="bottom"/>
            <w:gridSpan w:val="3"/>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16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1"/>
                <w:szCs w:val="21"/>
                <w:color w:val="auto"/>
              </w:rPr>
            </w:pPr>
          </w:p>
        </w:tc>
        <w:tc>
          <w:tcPr>
            <w:tcW w:w="13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8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40" w:type="dxa"/>
            <w:vAlign w:val="bottom"/>
          </w:tcPr>
          <w:p>
            <w:pPr>
              <w:spacing w:after="0"/>
              <w:rPr>
                <w:sz w:val="19"/>
                <w:szCs w:val="19"/>
                <w:color w:val="auto"/>
              </w:rPr>
            </w:pP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8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25,760</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$ 104,584,170</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(4,921,178)</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99,662,997</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formerly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331,331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331,331</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pursuant to</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10,457</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671,621</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671,620</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Registration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associated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preferred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issuance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offerings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80,776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15,723,900</w:t>
            </w:r>
          </w:p>
        </w:tc>
        <w:tc>
          <w:tcPr>
            <w:tcW w:w="12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15,723,908</w:t>
            </w:r>
          </w:p>
        </w:tc>
        <w:tc>
          <w:tcPr>
            <w:tcW w:w="0" w:type="dxa"/>
            <w:vAlign w:val="bottom"/>
          </w:tcPr>
          <w:p>
            <w:pPr>
              <w:spacing w:after="0"/>
              <w:rPr>
                <w:sz w:val="1"/>
                <w:szCs w:val="1"/>
                <w:color w:val="auto"/>
              </w:rPr>
            </w:pPr>
          </w:p>
        </w:tc>
      </w:tr>
      <w:tr>
        <w:trPr>
          <w:trHeight w:val="217"/>
        </w:trPr>
        <w:tc>
          <w:tcPr>
            <w:tcW w:w="14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5"/>
                <w:szCs w:val="15"/>
                <w:color w:val="auto"/>
              </w:rPr>
              <w:t>[1]</w:t>
            </w:r>
          </w:p>
        </w:tc>
        <w:tc>
          <w:tcPr>
            <w:tcW w:w="8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(8,550)</w:t>
            </w:r>
          </w:p>
        </w:tc>
        <w:tc>
          <w:tcPr>
            <w:tcW w:w="34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(10,295,048)</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(10,295,049)</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into common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extension of</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lock-up period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1,156,777</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1,156,778</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at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(7,168)</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181,891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181,891</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funded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255,557</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inducement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 exercise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4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proceeds </w:t>
            </w:r>
            <w:r>
              <w:rPr>
                <w:rFonts w:ascii="Times New Roman" w:cs="Times New Roman" w:eastAsia="Times New Roman" w:hAnsi="Times New Roman"/>
                <w:sz w:val="29"/>
                <w:szCs w:val="29"/>
                <w:color w:val="auto"/>
                <w:vertAlign w:val="superscript"/>
              </w:rPr>
              <w:t>[2]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20,346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757,644</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757,647</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Round up share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due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reverse split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1,192,963</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1,192,963</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(98,297,946)</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(98,297,946)</w:t>
            </w:r>
          </w:p>
        </w:tc>
        <w:tc>
          <w:tcPr>
            <w:tcW w:w="0" w:type="dxa"/>
            <w:vAlign w:val="bottom"/>
          </w:tcPr>
          <w:p>
            <w:pPr>
              <w:spacing w:after="0"/>
              <w:rPr>
                <w:sz w:val="1"/>
                <w:szCs w:val="1"/>
                <w:color w:val="auto"/>
              </w:rPr>
            </w:pPr>
          </w:p>
        </w:tc>
      </w:tr>
      <w:tr>
        <w:trPr>
          <w:trHeight w:val="174"/>
        </w:trPr>
        <w:tc>
          <w:tcPr>
            <w:tcW w:w="14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w:t>
            </w: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405,212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114,300,849</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(103,219,124)</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11,074,598</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213,800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2,672,479</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2,672,500</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131,481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pursuant to</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196,764</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196,770</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Round up share</w:t>
            </w:r>
          </w:p>
        </w:tc>
        <w:tc>
          <w:tcPr>
            <w:tcW w:w="8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4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7"/>
                <w:szCs w:val="17"/>
                <w:color w:val="auto"/>
              </w:rPr>
            </w:pPr>
          </w:p>
        </w:tc>
        <w:tc>
          <w:tcPr>
            <w:tcW w:w="2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75,410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(8)</w:t>
            </w:r>
          </w:p>
        </w:tc>
        <w:tc>
          <w:tcPr>
            <w:tcW w:w="128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due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reverse split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705,567</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705,567</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inducement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 exercise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4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proceeds </w:t>
            </w:r>
            <w:r>
              <w:rPr>
                <w:rFonts w:ascii="Times New Roman" w:cs="Times New Roman" w:eastAsia="Times New Roman" w:hAnsi="Times New Roman"/>
                <w:sz w:val="29"/>
                <w:szCs w:val="29"/>
                <w:color w:val="auto"/>
                <w:vertAlign w:val="superscript"/>
              </w:rPr>
              <w:t>[3]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1,057,800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(894,631)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(894,525)</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3,033,284</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3,033,284</w:t>
            </w:r>
          </w:p>
        </w:tc>
        <w:tc>
          <w:tcPr>
            <w:tcW w:w="0" w:type="dxa"/>
            <w:vAlign w:val="bottom"/>
          </w:tcPr>
          <w:p>
            <w:pPr>
              <w:spacing w:after="0"/>
              <w:rPr>
                <w:sz w:val="1"/>
                <w:szCs w:val="1"/>
                <w:color w:val="auto"/>
              </w:rPr>
            </w:pPr>
          </w:p>
        </w:tc>
      </w:tr>
      <w:tr>
        <w:trPr>
          <w:trHeight w:val="198"/>
        </w:trPr>
        <w:tc>
          <w:tcPr>
            <w:tcW w:w="1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At the market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issuance</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564,495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1,142,245</w:t>
            </w: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1,142,302</w:t>
            </w:r>
          </w:p>
        </w:tc>
        <w:tc>
          <w:tcPr>
            <w:tcW w:w="0" w:type="dxa"/>
            <w:vAlign w:val="bottom"/>
          </w:tcPr>
          <w:p>
            <w:pPr>
              <w:spacing w:after="0"/>
              <w:rPr>
                <w:sz w:val="1"/>
                <w:szCs w:val="1"/>
                <w:color w:val="auto"/>
              </w:rPr>
            </w:pPr>
          </w:p>
        </w:tc>
      </w:tr>
      <w:tr>
        <w:trPr>
          <w:trHeight w:val="217"/>
        </w:trPr>
        <w:tc>
          <w:tcPr>
            <w:tcW w:w="1400" w:type="dxa"/>
            <w:vAlign w:val="bottom"/>
          </w:tcPr>
          <w:p>
            <w:pPr>
              <w:jc w:val="right"/>
              <w:ind w:right="951"/>
              <w:spacing w:after="0"/>
              <w:rPr>
                <w:sz w:val="20"/>
                <w:szCs w:val="20"/>
                <w:color w:val="auto"/>
              </w:rPr>
            </w:pPr>
            <w:r>
              <w:rPr>
                <w:rFonts w:ascii="Times New Roman" w:cs="Times New Roman" w:eastAsia="Times New Roman" w:hAnsi="Times New Roman"/>
                <w:sz w:val="15"/>
                <w:szCs w:val="15"/>
                <w:color w:val="auto"/>
              </w:rPr>
              <w:t>[4]</w:t>
            </w:r>
          </w:p>
        </w:tc>
        <w:tc>
          <w:tcPr>
            <w:tcW w:w="8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Shelf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registration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issuance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(9,413,435)</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(9,413,435)</w:t>
            </w:r>
          </w:p>
        </w:tc>
        <w:tc>
          <w:tcPr>
            <w:tcW w:w="0" w:type="dxa"/>
            <w:vAlign w:val="bottom"/>
          </w:tcPr>
          <w:p>
            <w:pPr>
              <w:spacing w:after="0"/>
              <w:rPr>
                <w:sz w:val="1"/>
                <w:szCs w:val="1"/>
                <w:color w:val="auto"/>
              </w:rPr>
            </w:pPr>
          </w:p>
        </w:tc>
      </w:tr>
      <w:tr>
        <w:trPr>
          <w:trHeight w:val="174"/>
        </w:trPr>
        <w:tc>
          <w:tcPr>
            <w:tcW w:w="14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40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2,508,198</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(7,168)</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121,155,922</w:t>
            </w:r>
          </w:p>
        </w:tc>
        <w:tc>
          <w:tcPr>
            <w:tcW w:w="15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(112,632,559)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8,516,447</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[1]Includes gross proceeds of $18,114,193 less issuance costs of $2,390,285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[2]Includes gross proceeds of $966,349 less issuance costs of $208,702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[3]Includes gross proceeds of $2,514,088 less issuance costs of $3,408,613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[4]Includes gross proceeds of $1,354,404 less issuance costs of $212,102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(9,413,435)</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(98,297,946)</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81,438,426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11,895,033</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705,567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1,192,963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pursuant to vendor agreements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196,770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671,620</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as consideration for extension of lock-up period</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1,156,778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6,933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rent expense</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7,839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90,532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(9,479,069)</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30,586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56,547</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Vendor deposits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136,524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97,877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750,569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2,405,938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(100,100)</w:t>
            </w:r>
          </w:p>
        </w:tc>
        <w:tc>
          <w:tcPr>
            <w:tcW w:w="0" w:type="dxa"/>
            <w:vAlign w:val="bottom"/>
          </w:tcPr>
          <w:p>
            <w:pPr>
              <w:spacing w:after="0"/>
              <w:rPr>
                <w:sz w:val="1"/>
                <w:szCs w:val="1"/>
                <w:color w:val="auto"/>
              </w:rPr>
            </w:pPr>
          </w:p>
        </w:tc>
      </w:tr>
      <w:tr>
        <w:trPr>
          <w:trHeight w:val="230"/>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139,508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101,535</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(7,559,697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in public offering</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18,114,193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common stock issuance</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(588,045)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(2,417,095)</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Series A Preferred Stock</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(10,695,611)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2,672,500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inducement offer - exercise proceeds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2,514,088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966,349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the market issuance of stock proceeds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1,354,404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preferred stock issuance</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5,952,947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7"/>
              </w:rPr>
              <w:t>(1,606,750)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(2,764,525)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3,137,674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5,902,199</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19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1,530,924</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3,137,674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formerly redeemable common stock</w:t>
            </w:r>
          </w:p>
        </w:tc>
        <w:tc>
          <w:tcPr>
            <w:tcW w:w="19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331,331</w:t>
            </w:r>
          </w:p>
        </w:tc>
        <w:tc>
          <w:tcPr>
            <w:tcW w:w="0" w:type="dxa"/>
            <w:vAlign w:val="bottom"/>
          </w:tcPr>
          <w:p>
            <w:pPr>
              <w:spacing w:after="0"/>
              <w:rPr>
                <w:sz w:val="1"/>
                <w:szCs w:val="1"/>
                <w:color w:val="auto"/>
              </w:rPr>
            </w:pPr>
          </w:p>
        </w:tc>
      </w:tr>
      <w:tr>
        <w:trPr>
          <w:trHeight w:val="197"/>
        </w:trPr>
        <w:tc>
          <w:tcPr>
            <w:tcW w:w="618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Accounts payable for deferred offering costs</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44,892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8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181,891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Warrant inducement offer - incremental value</w:t>
            </w:r>
          </w:p>
        </w:tc>
        <w:tc>
          <w:tcPr>
            <w:tcW w:w="8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3,033,284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134,591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Risks and Uncertainties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and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Larkspur Health Acquisition Corp. (“Larkspur”), a blank-check special purpose acquisition company, was incorporated in Delaware on March 17, 2021. On December 12, 2022, Larkspur consummated the Business Combination with ZyVersa Therapeutics, Inc. (“Predecessor”) which was incorporated in the State of Florida on March 11, 2014 as Variant Pharmaceuticals, Inc. On the date of consummation of the Business Combination, Larkspur (“New Parent”) changed its name to ZyVersa Therapeutics, Inc. and the Predecessor changed its name to ZyVersa Therapeutics Operating, Inc. (the “Operating Company”) after merging with a subsidiary of the New Parent, with the Operating Company being the surviving entity, which resulted in it being incorporated in Delaware and it being a wholly-owned subsidiary of the New Parent (collectively the “Successor”). References to the “Company” or “ZyVersa” refer to the Successor for the Successor period from December 13, 2022 to December 31, 2022 and to the Predecessor for the Predecessor period from January 1, 2022 to December 12, 2022.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ZyVersa is a clinical stage biopharmaceutical company leveraging proprietary technologies to develop drugs for patients with chronic renal or inflammatory diseases with high unmet medical needs. Our mission is to develop drugs that optimize health outcomes and improve patients’ quality of life.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March 10, 2023, Silicon Valley Bank (“SVB”) was closed by the California Department of Financial Protection and Innovation, and the Federal Deposit Insurance Corporation (“FDIC”) was appointed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The standard deposit insurance amount is up to $250,000 per depositor, per insured bank, for each account ownership category. Although we do not have any funds deposited with the aforementioned banks, we regularly maintain cash balances with other financial institutions in excess of the FDIC insurance limit. A failure of a depository institution to return deposits could impact access to our cash or cash equivalents and could adversely impact our operating liquidity and financial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cash of approximately $1.5 million and a working capital deficit of approximately $9.5 million. During the year ended December 31, 2024, the Company incurred a net loss of approximately $9.4 million and used cash in operations of approximately $7.6 million. The Company has an accumulated deficit of approximately $112.6 million as of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losses each year since its inception and has a net working capital deficiency as of December 31, 2024. Based upon the cash on hand as of the date the financials were issued, the Company expects that the cash it currently has available will not fund its operations for 12 months from the issuance date of the financial statements. As a result, the Company will be required to raise additional funds through equity or debt financing, and there can be no assurance that it will be successful in securing additional capital. These conditions raise substantial doubt about the Company’s ability to continue as a going concern for at least one year from the issuance date of these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cash flow needs include the planned costs to operate its business, including amounts required to fund research and development, working capital, and capital expenditures. The Company’s future capital requirements and the adequacy of its available funds will depend on many factors, including the Company’s ability to successfully commercialize its products and services, competing technological and market developments, and the need to enter into collaborations with other companies or acquire other companies or technologies to enhance or complement our product and service offerings. We intend to raise additional capital in the future to fund operations. If the Company is unable to secure additional capital, it may be required to curtail its research and development initiatives and take additional measures to reduce costs in order to conserve its cash.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 which contemplate continuation of the Company as a going concern and the realization of assets and satisfaction of liabilities in the normal course of business. The financial statements do not include any adjustment that might become necessary should the Company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derived from the accounting records of the Company and its consolidated subsidiaries. All significant intercompany balances have been eliminated in the consolidated financial statements. The consolidated financial statements have been prepared in accordance with United States Generally Accepted Accounting Principles (“U.S. GAAP”) and pursuant to the accounting rules and regulations of the United States Securities and Exchange Commission (“SEC”).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4, 2023, the Company effected a reverse stock split of its common stock at a ratio of 1-for-35 (the “2023 Reverse Split”). Upon the effectiveness of the 2023 Reverse Split, every 35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2023 Reverse Split.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all share and per share amounts for all periods presented in these financial statements and notes thereto have been adjusted retroactively, where applicable, to reflect the 2023 Reverse Split and the 2024 Reverse Split and adjustment of the conversion price or exercise price of each outstanding equity award, convertible security and warrant as if the transaction had occurred as of the beginning of the earliest period presented. See Note 9 – Stockholders’ Permanent and Temporary Equity – Reverse Stock Split.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in the financial statements. As of December 31, 2024 and 2023, the Company had no cash equivalents.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cash deposits which, at times, may be in excess of Federal Deposit Insurance Corporation (“FDIC”) insurance limits. The Company has not experienced losses in such accounts and periodically evaluates the creditworthiness of its financial institutions. See Note 1 – Risks and Uncertainties.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In-process research and development (IPR&amp;D) acquired in a business combination is capitalized as an indefinite-lived intangible asset until regulatory approval is obtained, at which time it is accounted for as a definite-lived asset and amortized over its estimated useful life, or discontinuation, at which point the intangible asset will be written off.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 and Goodwill</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long-lived assets in accordance with the provisions of ASC 360-10-35, </w:t>
      </w:r>
      <w:r>
        <w:rPr>
          <w:rFonts w:ascii="Times New Roman" w:cs="Times New Roman" w:eastAsia="Times New Roman" w:hAnsi="Times New Roman"/>
          <w:sz w:val="18"/>
          <w:szCs w:val="18"/>
          <w:i w:val="1"/>
          <w:iCs w:val="1"/>
          <w:color w:val="auto"/>
        </w:rPr>
        <w:t>Property, Plant and Equipment, Impairment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Long-lived Assets</w:t>
      </w:r>
      <w:r>
        <w:rPr>
          <w:rFonts w:ascii="Times New Roman" w:cs="Times New Roman" w:eastAsia="Times New Roman" w:hAnsi="Times New Roman"/>
          <w:sz w:val="18"/>
          <w:szCs w:val="18"/>
          <w:color w:val="auto"/>
        </w:rPr>
        <w:t>. This accounting standard requires that long-lived assets be reviewed for impairment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 may not be recoverable. Recoverability of assets to be held and used is measured by a comparison of the carrying amount of an asset to future undiscounted net cash flows expected to be generated by the asset. If the carrying amount of an asset exceeds its estimated future cash flows, an impairment charge is recognized by the amount by which the carrying amount of the asset exceeds the fair value of the asset. The Company intends to perform its annual impairment testing during the fourth quarter of each year.</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goodwill and intangible assets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Goodwill represents the excess of the purchase price of an entity over the estimated fair value of the assets acquired and liabilities assumed. ASC 350 requires that goodwill and other intangibles with indefinite lives be tested for impairment annually or on an interim basis if events or circumstances indicate that the fair value of an asset has decreased below its carrying value.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whether a quantitative assessment is required, the Company will evaluate relevant events or circumstances to determine whether it is more likely than not that the fair value of a reporting unit or an indefinite-lived intangible asset is less than its carrying amount. If, after performing the qualitative assessment, an entity concludes that it is more likely than not that the fair value of a reporting unit or an indefinite-lived intangible asset is less than its carrying amount, the entity would perform the quantitative impairment test described in ASC 350. However, if, after applying the qualitative assessment, the entity concludes that it is not more than likely that the fair value is less than the carrying amount, the quantitative impairment test is not required. The Company bases these assumptions on its historical data and experience, industry projections, micro and macro general economic condition projections, and its expectations.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Net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Equipment is stated at cost, net of accumulated depreciation, which is recorded commencing at the in-service date using the straight- line method at rates sufficient to charge the cost of depreciable assets to operations over their estimated useful lives, which is 5 years. For the years ended on December 31, 2024 and 2023, equipment consisted of $52,000 of medical equipment, placed in service on September 1, 2019, less accumulated depreciation of $52,000 and $45,067 as of December 31, 2024 and 2023, respectively. During the years ended December 31, 2024 and 2023, the Company recognized depreciation expense of $6,933 and $10,400, respectively. Depreciation expense was included in general and administrative expenses in the statements of operations for all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Offering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offering costs, which primarily consist of direct, incremental professional fees incurred in connection with a debt or equity financing, are capitalized as deferred offering costs (a non-current asset) on the balance sheet. Once the financing closes, the Company reclassifies such costs as either discounts to notes payable or as a reduction of proceeds received from equity transactions so that such costs are recorded as a reduction of additional paid-in capital. If the completion of a contemplated financing was deemed to be no longer probable, the related deferred offering costs would be charged to general and administrative expense in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financial assets and liabilities based on ASC 820 “Fair Value Measurements and Disclosures” (“ASC 820”), which defines fair value, establishes a framework for measuring fair value, and expands disclosures about fair value measurements.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such as cash, accounts payable, accrued expenses, and deposits approximate fair values due to the short-term nature of these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items that have been included or excluded in the financial statements or tax returns. Deferred tax assets and liabilities are determined on the basis of the difference between the tax basis of assets and liabilities and their respective financial reporting amounts (“temporary differences”) at enacted tax rates in effect for the years in which the temporary differences are expected to reverse. Deferred tax assets are reduced by a valuation allowance to the extent management concludes it is more likely than not that the assets will not be realized. The effect on deferred tax assets and liabilities of a change in tax rates is recognized in the statements of operations in the period that includes the enactment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a recognition threshold and measurement process for financial statement recognition and measurement of a tax position taken or expected to be taken in a tax return.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are charged to operations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cost of services received in exchange for an award of equity instruments based on the fair value of the award. The fair value of the award is measured on the grant date. The fair value amount is then recognized over the period during which services are required to be provided in exchange for the award, usually the vesting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Stock Options and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computed the fair value of stock options and warrants granted using the Black-Scholes option pricing model. Option forfeitures are accounted for at the time of occurrence. Common stock is being valued using the market approach using the trading prices of the common stock on the Nasdaq Capital Market. The expected term used for options is the estimated period of time that options granted are expected to be outstanding. The expected term used for warrants is the contractual life. The Company utilizes the “simplified” method to develop an estimate of the expected term of “plain vanilla” option grants. The Company did not have a public trading history for the common shares to support its historical volatility calculations until December 13, 2022. Accordingly, the Company is utilizing an expected volatility figure based on a review of the historical volatility of five comparable entities over a period of time equivalent to the expected life of the instrument being valued. The risk-free interest rate was determined from the implied yields from U.S. Treasury zero-coupon bonds with a remaining term consistent with the expected term of the instrument being valued.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Per Common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vested common shares outstanding during the period, plus the weighted average number of pre-funded warrants outstanding where common stock is issuable for little or no consideration. Diluted net income per common share is computed by dividing net income by the weighted average number of common and dilutive common-equivalent shares outstanding during each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33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38"/>
        </w:trPr>
        <w:tc>
          <w:tcPr>
            <w:tcW w:w="560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r>
      <w:tr>
        <w:trPr>
          <w:trHeight w:val="210"/>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5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9"/>
                <w:szCs w:val="29"/>
                <w:color w:val="auto"/>
                <w:vertAlign w:val="superscript"/>
              </w:rPr>
              <w:t>[1]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1,747,093</w:t>
            </w:r>
          </w:p>
        </w:tc>
        <w:tc>
          <w:tcPr>
            <w:tcW w:w="4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903,274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9,612</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10,243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2,067</w:t>
            </w:r>
          </w:p>
        </w:tc>
        <w:tc>
          <w:tcPr>
            <w:tcW w:w="4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InflamaCORE, LLC license agreement, warrants to purchase 342 shares of common stock are to be issued upon the satisfaction of certain milestones and, accordingly, are not included in the amount currently reported. See Note 8 - Commitments and Contingencies - License Agreements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Vendor Concentration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accounts payable to one vendor accounted for 56% and 59%, respectively, of the accounts payable related to research and development. The Company relies on this vendor to perform critical research and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Segments Disclosures (Topic 280), which updates reportable segment disclosure requirements, primarily through enhanced disclosures about significant segment expenses on both an annual and interim basis. The guidance becomes effective for fiscal years beginning after December 15, 2023 and interim periods within fiscal years beginning after December 15, 2024, with early adoption permitted. Since this new ASU addresses only disclosures, this ASU did not have any material effects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and intangible asset amortization.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Intangible Assets and 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in-process research and development (“IPR&amp;D”) were recorded in connection with the business combination. This IPR&amp;D originally represented the current fair value of the IPR&amp;D assets acquired. IPR&amp;D recorded for book purposes is considered an indefinite-lived intangible asset until the completion or the abandonment of the research and development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reviewed the goodwill and IPR&amp;D for impairment in accordance with its accounting policies. As a result of the Company’s analysis, during the year ended December 31, 2023, the Company fully impaired its $11.9 million of goodwill and also recorded an $81.4 million impairment charge for its other indefinite-lived intangible assets, namely the IPR&amp;D. There was no impairment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Note Receivable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2020, the Company and L&amp;F Research LLC (“L&amp;F”) entered into a promissory note agreement (“L&amp;F Note Agreement”) whereby the Company agreed to accept a note receivable in the principal amount of $351,579 from L&amp;F (“L&amp;F Note”). The L&amp;F Note bears interest at a rate of 1.17% per annum, payable annually, and matures on the earliest of (a) the date on which the Company demands payment of all amounts outstanding under the L&amp;F Note following an event of default and (b) December 15, 2025. L&amp;F is required to immediately prepay the L&amp;F Note and all accrued and unpaid interest on the L&amp;F Note with the following: (a) 100% of the proceeds of the second $500,000 of milestone payments paid by ZyVersa to L&amp;F pursuant to the terms of the license agreement (See Note 8 - Commitments and Contingencies), (b) 100% of the gross proceeds from the sale of common stock by L&amp;F to ZyVersa pursuant to the terms of the Put Option (See Note 9 – Stockholders’ Permanent and Temporary Equity), (c) 100% of the gross proceeds in excess of $1.00 per share from the sale of ZyVersa common stock by L&amp;F to any party other than ZyVersa and (d) proceeds received in connection with certain liquidation events as defined in the agreement. Commencing on December 13, 2021 and, so long as the principal amount of the L&amp;F Note remains outstanding, on each December 13 through December 13, 2025, the Company will pay L&amp;F an annual administrative fee equal to $6,000.</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L&amp;F Note was outstanding as of December 31, 2022 as the Company had not received payment from L&amp;F of the amount due, nor had the Company made any required payments to L&amp;F in connection with the license agreement described in Note 8 – Commitments and Contingencies, and such amount was recorded as a contra-liability against the milestone payments due to L&amp;F in connection with the license agreement, which was included in accrued expenses and other current liabilities (see Note 6 – Accrued Expenses and other Current Liabilities). In recording the L&amp;F Note receivable as a contra-liability, the Company considered the commercial substance, the intent of the parties and the overall contractual agreements between ZyVersa and L&amp;F Research, which afford both parties the legal right to set-off the milestone liability owed by the Company to L&amp;F Research with the L&amp;F Note receivable to the Company. The Company determined that the amounts could be offset in the balance sheet because i) the amounts owed by and to the Company are determinable, ii) the Company has a legal right to set off the milestone liability owed to L&amp;F Research by the amount of the L&amp;F Note due to the Company, iii) the Company intends to set off the L&amp;F Note receivable against the milestone liability, and iv) the set off right is enforceable by law.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29, 2023, the Company paid the $648,421 of cash to L&amp;F, thus meeting the conditions of Waiver A (see Note 8 – Commitments and Contingencies), which also had the effect of canceling the Note Receivable and the Put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2024, the Company paid $500,000 of cash to L&amp;F, thus meeting the conditions of Waiver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accrued expenses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L&amp;F milestone payment liability</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3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1,039,338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668,803</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310,942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41,969</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3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536,500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536,500</w:t>
            </w:r>
          </w:p>
        </w:tc>
        <w:tc>
          <w:tcPr>
            <w:tcW w:w="60" w:type="dxa"/>
            <w:vAlign w:val="bottom"/>
          </w:tcPr>
          <w:p>
            <w:pPr>
              <w:spacing w:after="0"/>
              <w:rPr>
                <w:sz w:val="18"/>
                <w:szCs w:val="18"/>
                <w:color w:val="auto"/>
              </w:rPr>
            </w:pPr>
          </w:p>
        </w:tc>
      </w:tr>
      <w:tr>
        <w:trPr>
          <w:trHeight w:val="270"/>
        </w:trPr>
        <w:tc>
          <w:tcPr>
            <w:tcW w:w="62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Registration delay liability </w:t>
            </w:r>
            <w:r>
              <w:rPr>
                <w:rFonts w:ascii="Times New Roman" w:cs="Times New Roman" w:eastAsia="Times New Roman" w:hAnsi="Times New Roman"/>
                <w:sz w:val="29"/>
                <w:szCs w:val="29"/>
                <w:color w:val="auto"/>
                <w:vertAlign w:val="superscript"/>
              </w:rPr>
              <w:t>[1]</w:t>
            </w:r>
          </w:p>
        </w:tc>
        <w:tc>
          <w:tcPr>
            <w:tcW w:w="3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7,261</w:t>
            </w:r>
          </w:p>
        </w:tc>
        <w:tc>
          <w:tcPr>
            <w:tcW w:w="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7,261</w:t>
            </w:r>
          </w:p>
        </w:tc>
        <w:tc>
          <w:tcPr>
            <w:tcW w:w="60" w:type="dxa"/>
            <w:vAlign w:val="bottom"/>
            <w:shd w:val="clear" w:color="auto" w:fill="CCEEFF"/>
          </w:tcPr>
          <w:p>
            <w:pPr>
              <w:spacing w:after="0"/>
              <w:rPr>
                <w:sz w:val="23"/>
                <w:szCs w:val="23"/>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1,754,533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9 – “Stockholders’ Permanent and Temporary Equity – Effectiveness Failure” for details of the registration delay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(benefits) provisions: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2260" w:type="dxa"/>
            <w:vAlign w:val="bottom"/>
          </w:tcPr>
          <w:p>
            <w:pPr>
              <w:spacing w:after="0"/>
              <w:rPr>
                <w:sz w:val="19"/>
                <w:szCs w:val="19"/>
                <w:color w:val="auto"/>
              </w:rPr>
            </w:pPr>
          </w:p>
        </w:tc>
      </w:tr>
      <w:tr>
        <w:trPr>
          <w:trHeight w:val="238"/>
        </w:trPr>
        <w:tc>
          <w:tcPr>
            <w:tcW w:w="3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3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benefit:</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23,240</w:t>
            </w:r>
          </w:p>
        </w:tc>
        <w:tc>
          <w:tcPr>
            <w:tcW w:w="226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(1,688,265)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(19,104,800)</w:t>
            </w:r>
          </w:p>
        </w:tc>
        <w:tc>
          <w:tcPr>
            <w:tcW w:w="2260" w:type="dxa"/>
            <w:vAlign w:val="bottom"/>
          </w:tcPr>
          <w:p>
            <w:pPr>
              <w:spacing w:after="0"/>
              <w:rPr>
                <w:sz w:val="18"/>
                <w:szCs w:val="18"/>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(164,376)</w:t>
            </w:r>
          </w:p>
        </w:tc>
        <w:tc>
          <w:tcPr>
            <w:tcW w:w="4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(4,468,170)</w:t>
            </w:r>
          </w:p>
        </w:tc>
        <w:tc>
          <w:tcPr>
            <w:tcW w:w="2260" w:type="dxa"/>
            <w:vAlign w:val="bottom"/>
          </w:tcPr>
          <w:p>
            <w:pPr>
              <w:spacing w:after="0"/>
              <w:rPr>
                <w:sz w:val="19"/>
                <w:szCs w:val="19"/>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(1,852,641)</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(23,572,970)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1,859,386</w:t>
            </w:r>
          </w:p>
        </w:tc>
        <w:tc>
          <w:tcPr>
            <w:tcW w:w="4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14,093,900</w:t>
            </w:r>
          </w:p>
        </w:tc>
        <w:tc>
          <w:tcPr>
            <w:tcW w:w="2260" w:type="dxa"/>
            <w:vAlign w:val="bottom"/>
          </w:tcPr>
          <w:p>
            <w:pPr>
              <w:spacing w:after="0"/>
              <w:rPr>
                <w:sz w:val="19"/>
                <w:szCs w:val="19"/>
                <w:color w:val="auto"/>
              </w:rPr>
            </w:pP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(9,455,830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6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9"/>
              </w:rPr>
              <w:t>F-14</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gridSpan w:val="7"/>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rPr>
              <w:t>ZYVERSA THERAPEUTICS, INC.</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8980" w:type="dxa"/>
            <w:vAlign w:val="bottom"/>
            <w:gridSpan w:val="13"/>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r>
      <w:tr>
        <w:trPr>
          <w:trHeight w:val="432"/>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provision for income taxes differs from the Federal statutory rate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3"/>
        </w:trPr>
        <w:tc>
          <w:tcPr>
            <w:tcW w:w="4700" w:type="dxa"/>
            <w:vAlign w:val="bottom"/>
          </w:tcPr>
          <w:p>
            <w:pPr>
              <w:spacing w:after="0"/>
              <w:rPr>
                <w:sz w:val="24"/>
                <w:szCs w:val="24"/>
                <w:color w:val="auto"/>
              </w:rPr>
            </w:pPr>
          </w:p>
        </w:tc>
        <w:tc>
          <w:tcPr>
            <w:tcW w:w="2520" w:type="dxa"/>
            <w:vAlign w:val="bottom"/>
            <w:gridSpan w:val="6"/>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47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47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rate, net of federal benefit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state rate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period adjustments and other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4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4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4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12,544,318</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9,974,075</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3,155,058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3,258,463</w:t>
            </w: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1,753,207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2,182,104</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start-up costs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781,342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1,033,504</w:t>
            </w: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licensing costs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609,669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647,489</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patents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392,691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351,721</w:t>
            </w: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135,319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134,341</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394,406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299,487</w:t>
            </w: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carryforward</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60" w:type="dxa"/>
            <w:vAlign w:val="bottom"/>
            <w:shd w:val="clear" w:color="auto" w:fill="CCEEFF"/>
          </w:tcPr>
          <w:p>
            <w:pPr>
              <w:spacing w:after="0"/>
              <w:rPr>
                <w:sz w:val="18"/>
                <w:szCs w:val="18"/>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60" w:type="dxa"/>
            <w:vAlign w:val="bottom"/>
          </w:tcPr>
          <w:p>
            <w:pPr>
              <w:spacing w:after="0"/>
              <w:rPr>
                <w:sz w:val="19"/>
                <w:szCs w:val="19"/>
                <w:color w:val="auto"/>
              </w:rPr>
            </w:pPr>
          </w:p>
        </w:tc>
      </w:tr>
      <w:tr>
        <w:trPr>
          <w:trHeight w:val="210"/>
        </w:trPr>
        <w:tc>
          <w:tcPr>
            <w:tcW w:w="56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19,768,888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17,886,192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(15,953,288)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(14,093,900)</w:t>
            </w: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3,815,600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3,792,292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(4,667,259)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(4,633,535)</w:t>
            </w:r>
          </w:p>
        </w:tc>
      </w:tr>
      <w:tr>
        <w:trPr>
          <w:trHeight w:val="22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(1,723)</w:t>
            </w:r>
          </w:p>
        </w:tc>
      </w:tr>
      <w:tr>
        <w:trPr>
          <w:trHeight w:val="210"/>
        </w:trPr>
        <w:tc>
          <w:tcPr>
            <w:tcW w:w="5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(4,667,259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(4,637,206</w:t>
            </w:r>
          </w:p>
        </w:tc>
        <w:tc>
          <w:tcPr>
            <w:tcW w:w="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(851,659)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(844,914)</w:t>
            </w:r>
          </w:p>
        </w:tc>
      </w:tr>
      <w:tr>
        <w:trPr>
          <w:trHeight w:val="20"/>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2024 and 2023, the Company had approximately $51,987,494 and $41,465,440 Federal net loss (“NOL”) carryforwards, respectively, and $37,444,050 and $30,035,239 of State NOLs,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and concluded that there were no material uncertain tax positions requiring recognition in the Company’s financial statements as of December 31, 2024 and 2023. The Company does not expect any significant changes in its unrecognized tax benefits within twelve months of the reporting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tax audits were commenced or were in process during the years ended December 31, 2024 and 2023 and no tax related interest or penalties were incurred during those years. The Company’s tax returns beginning with the year ended December 31, 2021 remain subject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Litigations, Claims and Assessments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Disputed Vendor Invoices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2024 and July 1, 2024, the Company received two invoices from a vendor in the amounts of $992,176 and $162,800, respectively. The June 30, 2024 invoice represents retroactive interest on invoices going back to September 30, 2022. The July 1, 2024 invoice included miscellaneous unsupported charges performed over the past several years. On August 1, 2024, ZyVersa management sent the vendor a letter disputing the interest and unsupported charges and has requested the vendor to rescind each of them. The Company received additional invoices, dated July 31, 2024 thru December 31, 2024, which included $268,972 of interest for those same periods. Although the Company has requested the vendor to rescind the retroactive interest on invoices, the Company believes that in accordance with the agreement, the vendor can legally charge the Company interest from the point they were notified. As such, the Company included the calculated interest from July 1, 2024 to December 31, 2024 of $268,972 within accrued expenses and other current liabilities on the consolidated balance sheet at December 31, 2024. The vendor also updated certain interest calculations such that, at December 31, 2024, the vendors interest claim that has not been accrued by the Company is $924,627.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L&amp;F Research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 License Agreement with L&amp;F Research LLC (“L&amp;F Research”) effective December 15, 2015, as amended (the “L&amp;F License Agreement”) pursuant to which L&amp;F granted the Company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 The term of the license agreement shall commence on the effective date and, unless earlier terminated in accordance with the terms of the agreement, continue until the expiration of the last-to-expire of all royalty payment obligations of licensee.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license agreement contains an up-front cash payment of $200,000 (paid and recognized as research and development expense in 2015), $21.5 million in aggregate milestone cash payments (the Company will recognize expense associated with the milestone cash payments when such milestones become probable of being achieved; $1,500,000 of expense was recognized during 2020 (of which, $500,000 was originally due and payable in 2021) related to the U.S. Food and Drug Administration (“FDA”) acceptance of an investigational new drug application as well as commencement of Phase 2a clinical trials; the next milestone of $2,500,000 is earned upon a positive end of Phase 2 meeting with the FDA), royalties ranging from 5%-10% on sales of the product when it comes to market (the Company will recognize royalty expense if and when sales occur; none recognized to-date) and warrants to purchase an aggregate of 500 shares of common stock at an exercise price of $1,760.50 per share that were issued in 2015 with a grant date fair value of $766,384 that become exercisable for a period of five years from the date of achievement of specified milestones (a warrant to purchase 200 shares of common stock was exercisable upon its issuance in 2015 and, accordingly, the Company recognized its grant date fair value of $306,411 during 2015 as research and development expense with a corresponding credit to additional paid-in capital and was subsequently exercised on December 13, 2020; the Company will recognize expense associated with the remaining warrants when it is probable that the associated performance conditions will be achieved; a warrant to purchase 100 shares of common stock became exercisable in January 2020 upon the FDA acceptance of an investigational new drug application for a compound or product, as defined, at which time the Company recognized expense equal to the grant date fair value of $153,324; warrants to purchase 200 shares of common stock were not exercisable as of December 31, 2024 as the milestones were not achieved). For the consideration above that has yet to have been expensed or paid, the Company will recognize associated expense when such items become both probable of being achieved and such value is estimable.</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9, 2020, an amendment was entered into for the license agreement that provided for the following amendments: (i) partially extended the timing of payment of $1,000,000 of milestone cash payments associated with the successful completion of Phase 1 clinical trials ($500,000 payable upon commencement of Phase 2a clinical trials (the “Phase 1/2 Milestone”) and $500,000 payable upon the one year anniversary of the Phase 1/2 Milestone (“First Anniversary Milestone”); and (ii) upon the condition that L&amp;F exercises its warrant upon achievement of the Phase 1/2 Milestone, the $351,579 exercise price is to be withheld from the cash payment due to L&amp;F in connection with the Phase ½ Milestone. See Note 5 – Note Receivable for further details about the promissory note agreement entered into upon the exercise of warrants by L&amp;F and Note 9 – Permanent and Temporary Stockholders’ Equity – Redeemable Common Stock and Put Option for discussion about the put option agreement entered into by the Company and L&amp;F in connection with the L&amp;F Note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7, 2022, August 26, 2022 and December 23, 2022, the Company and L&amp;F executed a Waiver Agreement that waives L&amp;F’s right to terminate the license agreement or any other remedies, for non-payment of the $1,500,000 of milestone payments, collectively through March 31, 2023. All other terms of the license agreement remain in effect.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of milestone payments (“Waiver B”). Waiver A was contingent upon (i) forgiveness by the Company of $351,579 in aggregate principal amount outstanding under a certain convertible note, and (ii) a cash payment by the Company to L&amp;F in the amount of $648,421, on or before March 31, 2023. Waiver B is contingent upon a cash payment by the Company to L&amp;F in the amount of $500,000 on or before the earlier of (x) January 31, 2024, and (y) ten business days from the date that the Company receives net proceeds of at least $30,000,000 from the issuance of new equity capital. All other terms of the L&amp;F License remain in effect. See Note 5 – Note Receivable for further details around the promissory note agreement entered into upon the exercise of warrants by L&amp;F and Note 9 – Stockholders’ Permanent and Temporary Equity – Redeemable Common Stock and Put Option for discussion about the put option agreement entered into by the Company and L&amp;F in connection with the L&amp;F Note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29, 2023, the Company paid the $648,421 of cash to L&amp;F, thus meeting the conditions of Waiver A, which also had the effect of canceling the Note Receivable and the Put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2024, the Company paid $500,000 of cash to L&amp;F, thus meeting the conditions of Waiver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InflamaCORE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18, 2019, the Company entered into a license agreement with InflamaCORE, LLC (“InflamaCORE”) whereby InflamaCORE agreed to grant the Company an exclusive license to the InflamaCORE Program Technology for the development and commercialization of IC 100, for the treatment of inflammation. The term of the license agreement shall commence on the effective date and, unless earlier terminated in accordance with the terms of the agreement, continue until the expiration of the last-to-expire of all royalty payment obligations of licensee. In conjunction with this license agreement, InflamaCORE entered into an agreement with the University of Miami to aggregate all of the intellectual property and technology developed by InflamaCORE scientists, who are all employees of the University of Miami, under the InflamaCORE umbrella. The term of the agreement shall commence on the effective date and shall remain in effect until the later of (a) the date on which all issued patents and filed patent applications within the patent rights have expired or been abandoned and no royalties are due or (b) twenty (20) years, unless earlier terminated in accordance with the terms of the agreement. The two agreements were executed with the understanding that ZyVersa will further develop the intellectual property and technology under the license agreement.</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consideration for the license, the Company agreed to pay an up-front fee to InflamaCORE in the amount of $346,321 to cover the patent cost reimbursement to the University of Miami. InflamaCORE is also entitled to six milestone payments totaling $22,500,000 (the first milestone payment of $200,000 is triggered by the submission of an investigational new drug application for the first indication of a therapeutic licensed product). ZyVersa is required to pay sales royalties to InflamaCORE between 5% and 10%, which expire upon the latest of: (a) expiration of the last-to-expire of a patent or (b) expiration of regulatory exclusivity, as defined in the agreement. ZyVersa is required to pay sales royalties to the University of Miami between 3% and 6%. Finally, InflamaCORE received five-year warrants to purchase an aggregate of 568 shares of common stock, of which, a warrant to purchase 227 shares of common stock, with an issue date fair value of $815,822, which was recorded as research and development expenses, was issued at the execution of the agreement at an exercise price of $4,053.00 per share and the remaining warrants to purchase 341 shares of common stock are to be issued at a price per share equal to the fair value of the common stock at the time of issuance upon the satisfaction of certain milestones, unless the Company closes an initial public offering (“IPO”), defined as the initial public offering of the Predecessor’s Common Stock or other equity securities, at which point all warrants will be issued. If the Company completes its IPO within the three-year period immediately prior to the expiration date, the expiration date shall automatically be extended until the third anniversary of the effective date of the Company’s IPO. The Company determined that the Business Combination didn’t meet the definition of an IPO. The University of Miami also received 114 shares of common stock, with a grant date fair value of $460,000, which was recorded as research and development expenses, under the agreement. As of December 31, 2024, the Successor did not pay or owe any royalties, the performance milestones associated with the cash payments and issuance of warrants were not achieved and the Company did not accrue for any payments or issue the remaining warrants associated with the license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has increased approximately 3% every year thereafter for a total base rent lease commitment of approximately $497,000. On January 15, 2024, the Company extended the lease for an additional year for a total base rent lease commitment of $112,064. On January 9, 2025, the Company extended the lease for an additional year for a total base rent lease commitment of approximately $120,819. The Company used the short-term lease practical expedient which permits the Company to not capitalize leases with a term equal to or less than 12 months.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year ended December 31, 2024 and 2023 of $170,022 and $154,841,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right-of-use assets and liabilities is as follows:</w:t>
            </w: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3"/>
        </w:trPr>
        <w:tc>
          <w:tcPr>
            <w:tcW w:w="6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6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09"/>
        </w:trPr>
        <w:tc>
          <w:tcPr>
            <w:tcW w:w="6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activities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8,656</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100,099</w:t>
            </w:r>
          </w:p>
        </w:tc>
      </w:tr>
      <w:tr>
        <w:trPr>
          <w:trHeight w:val="216"/>
        </w:trPr>
        <w:tc>
          <w:tcPr>
            <w:tcW w:w="6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 years</w:t>
            </w:r>
          </w:p>
        </w:tc>
      </w:tr>
      <w:tr>
        <w:trPr>
          <w:trHeight w:val="216"/>
        </w:trPr>
        <w:tc>
          <w:tcPr>
            <w:tcW w:w="6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Permanent and Temporary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Stock Split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4, 2023 and April 25, 2024, the Company effected the 2023 Reverse Split and 2024 Reverse Split, respectively. See Note 3 – Summary of Significant Accounting Policies, Basis of Presentation and Principles of Consolidation for additional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Authorized Capital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110,000,000 shares of common stock, par value of $0.0001 per share, and 1,000,000 shares of preferred stock, par value $0.0001 per share. The holders of the common stock are entitled to one vote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November 30, 2023, the Company amended its certificate of incorporation to increase the authorized shares of common stock from 110,000,000 to 250,000,000.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Predecessor 2014 Equity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2022, in connection with the consummation of the Business Combination, the Predecessor approved the amendment to the 2014 Plan (the “2014 Plan Amendment”). The 2014 Plan Amendment provides, among other things, that upon consummation of the Business Combination, no further increases in the shares of common stock reserved and available for issuance under the 2014 Plan shall occur and no new awards shall be made under the 2014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Omnibus Equity Incentive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awards under the 2022 Omnibus Equity Incentive Plan (the “2022 Plan”), as amended on October 31, 2023 and October 29, 2024. Under the 2022 Plan, 181,795 shares of common stock are authorized for issuance as of December 31, 2024. The number of shares of common stock available for issuance under the 2022 Plan shall automatically increase on the first trading day of January each calendar year during the term of the 2022 Plan, beginning with calendar year 2023, by an amount equal to four percent (4%) of the total number of shares of common stock outstanding on the last trading day in December of the immediately preceding calendar year. The 2022 Plan provides for the issuance of incentive stock options, non-statutory stock options, rights to purchase common stock, stock appreciation rights, restricted stock and restricted stock units to employees, directors and consultants of the Company and its affiliates. The 2022 Plan requires the exercise price of stock options to be not less than the fair value of the Company’s common stock on the date of grant. As of December 31, 2024, there were 177,638 shares available for future issuance under the 2022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2025, the total number of shares under the 2022 Omnibus Equity Incentive Plan automatically increased to 282,122.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5, 2023, the Company issued 8,698 shares of common stock valued at $1.2 million to certain investors in a private placement (including to certain members of the Company’s sponsor) in exchange for increasing the duration of their lockup period until July 31, 2023 with respect to an aggregate of 5,651 shares of common stock underlying all securities of the Company held by such investors. The $1,156,778 fair value of the common stock issued was recorded in general and administrative expense in the Statement of Operations during the year ended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marketing agreements with three vendors in which the Company issued an aggregate of 10,457 shares of common stock and cash in exchange for marketing services. The fair value of the common stock was established as a prepaid expense and the Company is recognizing $574,800 of the expense over the six month term of one of the contracts, $30,400 of the expense over the twelve month term of the second contract, and $66,420 over the six month term of the final contract.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entered into marketing agreements with three vendors in which the Company issued an aggregate of 60,000 shares of common stock in exchange for marketing services. The fair value of the common stock was established as a prepaid expense and the Company is recognizing $79,200 of the expense over the six month term of one of the contracts, $48,570 of the expense over the six month term of the second contract, and $69,000 of the expense over the three month term of the third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Equity Offerings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2023, the Company completed a registered offering of 31,473 shares of common stock and warrants to purchase 31,473 shares of common stock for gross proceeds of $11.0 million (the “April 2023 Offering”). Each share of common stock was sold together with a five-year warrant to purchase one share of common stock at an exercise price of $350.00 per share, which was exercisable upon issuance. The Company determined that the warrant should be equity-classified, primarily because it is indexed to the Company’s own stock and it met the requirements for equity classification. Accordingly, because both the common stock and the warrant are equity-classified, it wasn’t necessary to allocate the proceeds or the issuance costs to the respective securities. Total issuance costs were $1,184,482 including $440,620 placement fees, $455,332 of legal fees, $259,774 of accounting and professional service costs related to the offering, and $28,756 of other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26, 2023, the Company completed a registered offering of 9,303 shares of common stock, pre-funded warrants (the “July 2023 Pre-Funded Warrants”) to purchase 27,061 shares of common stock and common warrants (the “July 2023 Warrants”) to purchase 36,364 shares of common stock at a combined public offering price of $57.75 per share (less $0.04 for each July 2023 Pre-Funded Warrant) which resulted in gross proceeds of $2.1 million (the “July 2023 Offering”). The July Pre-Funded Warrants are exercisable immediately, may be exercised at any time until all July 2023 Pre-Funded Warrants are exercised in full, and have an exercise price of $0.04 per share. The July 2023 Warrants are exercisable immediately for a term of five years and have an exercise price of $57.75 per share. The Company determined that both warrants should be equity-classified, primarily because they are indexed to the Company’s own stock and they met the requirements for equity classification. Accordingly, because the common stock and both warrants are equity-classified, it wasn’t necessary to allocate the proceeds or the issuance costs to the respective securities. Total issuance costs were $523,115 including $125,943 of placement fees, $236,091 of legal fees, $87,037 of accounting and professional service costs related to the offering, $26,744 of other costs, and $47,300 incremental fair value of the modified warrants as compared to the original warrants (see Stock Warrants below).</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December 11, 2023, the Company completed a registered offering of 40,000 shares of common stock, pre-funded warrants (the “December 2023 Pre-Funded Warrants”) to purchase 360,000 shares of common stock, Series A common warrants (the “December 2023 Series A Warrants”) to purchase 400,000 shares of common stock, and Series B common warrants (the “December 2023 Series B Warrants”) to purchase 400,000 shares of common stock at a combined public offering price of $12.50 per share (less $0.001 for each December 2023 Pre-Funded Warrant) which resulted in gross proceeds of $5.0 million (the “December 2023 Offering”). The December 2023 Pre-Funded Warrants are exercisable immediately, may be exercised at any time until all Pre-Funded Warrants are exercised in full, and have an exercise price of $0.001 per share. The December 2023 Series A Warrants are exercisable immediately for a term of five years and have an exercise price of $12.50 per share. The December 2023 Series B Warrants are exercisable immediately for a term of 18-months and have an exercise price of $12.50 per share. The Company determined that all warrants should be equity-classified, primarily because they are indexed to the Company’s own stock and they met the requirements for equity classification. Accordingly, because the common stock and warrants are equity-classified, it wasn’t necessary to allocate the proceeds or the issuance costs to the respective securities. Total issuance costs were $653,514 including $299,978 of placement fees, $232,336 of legal fees, $94,325 of accounting and professional service costs related to the offering, and $26,875 of other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and November 2024, the Company received approximately $1.35 million in gross proceeds from the sale of 564,495 shares of its common stock pursuant to its ATM Agreement with A.G.P. for its “at-the-market”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Redeemable Common Stock and Put Option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13, 2020 (the “Effective Date”), in connection with the L&amp;F Note Agreement (see Note 5 – Note Receivable for details), the Predecessor and L&amp;F entered into an agreement to provide L&amp;F with a put option to cause the Company to purchase up to 331,331 shares of Predecessor common stock (“Put Shares”) at a price of $1.00 per share (“Put Option”). The put option expires at the earlier of (A) the date that the L&amp;F Note is repaid in full; or (B) the fifth (5th) anniversary of the Effective Date. The parties agreed that, in the event of an exercise by L&amp;F, in lieu of paying L&amp;F for the Put Shares, the Company shall reduce the amount of the receivable then owed by L&amp;F to the Company under the L&amp;F Note Agreement. The Put Option was sold to L&amp;F for total consideration of $331, which was recorded within additional paid-in capital.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2022, the Company closed on the Business Combination whereby the 331,331 shares of Predecessor common stock subject to the Put Option were exchanged for 188 shares of Successor common stock at a price of $1762.80 per share. The put option has the practical effect of making the underlying shares of Successor common stock redeemable. As a result, they were classified as temporary equity on the December 31, 2022 balance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2023, the Company forgave $351,579 in aggregate principal amount outstanding on the L&amp;F Note and paid $648,421 of cash to L&amp;F, thus meeting the conditions of Waiver A. L&amp;F’s put option expired upon meeting the Waiver A conditions, which resulted in a reclassification of 188 shares of Successor common stock and $331,331 classified as temporary equity to permanent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Financing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sold 8,635 shares of Series A Preferred Stock and five-year warrants to purchase 2,465 shares of common stock at an exercise price of $4,025.00 per share (the “PIPE Warrants”), to certain purchasers at a price of $1,000 per share for net proceeds of $8,635,000 (the “PIPE” financing).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Preferred Stock is convertible, at the option of the holder, at any time into a number of shares of common stock equal to the face value divided by the conversion price then in effect (initially $3,500.00). In addition, for five years following the issuance of the Series A Preferred Stock, the conversion price is automatically adjusted to the greater of (a) $700.00; and (b) the lowest price of any subsequent offerings of securities at a price less than the conversion price.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price also resets at both 90 days and 150 days following the effectiveness of the registration of the Series A Preferred Stock (each a “Commencement Date”) to the greater of (a) $700.00; and (b) 85% of the lowest of the ten consecutive daily volume-weighted average prices commencing on, and including, each Commencement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Series A Preferred stockholders have no voting rights and dividends will only be paid on an as-converted basis when, and if paid to common stockholders. In the event of any liquidation, dissolution or winding up of the Company, each Series A Preferred stockholder shall be entitled to be paid out of the assets of the Company legally available for distribution, the stated value of their holdings, plus any accrued and unpaid dividends. The balance of any proceeds shall be distributed to Series A Preferred stockholders on an as-converted basis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 common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Preferred Stock is not redeemable at the election of the holder and, therefore, it is classified as permanent equity. However, subject to the holder’s right to elect to convert, the Company has the right to redeem the Series A Preferred Stock anytime at 120% of the face value. The Company determined that the embedded conversion options were clearly and closely related to the preferred stock host and, therefore, the embedded conversion options need not be bifurcated. However, if the conversion price is reset in connection with a subsequent issuance of securities, the Company will need to assess the accounting for the price reset. Due to the Company’s adoption of ASU 2020-06 on January 1, 2021, it wasn’t necessary to assess the embedded conversion options for a beneficial conversion feature.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or about April 28, 2023, cash proceeds from the April 2023 Offering in the amount of $10.5 million were used to redeem 8,400 shares of Series A Preferred Stock. The loss on the extinguishment of preferred stock is accounted for in a manner similar to the treatment of dividends paid on preferred stock. The loss on extinguishment is calculated as the difference between (a) the fair value of the negotiated $10.5 million of cash transferred to the holders of the Series A Preferred Stock (which also settled the Company’s obligation to make Effectiveness Failure payments (See Note 9 – “Stockholders’ Permanent and Temporary Equity – Effectiveness Failure” for details of Effectiveness Failure)), and (b) the $3.7 million net carrying amount of the Series A Preferred Stock. Accordingly, the redemption resulted in the recognition of a $6.4 million deemed dividend for the purposes of calculating the Company’s loss per common share. Because the Company has an accumulated deficit, both the debit and the credit associated with the dividend are to additional paid-in-capital, so there is no balance sheet effect.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 2023, the Company entered into a redemption agreement and release with an investor which resulted in the Company, on August 4, 2023, redeeming 150 of the 200 remaining shares of Series A Convertible Preferred Stock and warrants to purchase 247 shares of common stock at an exercise price of $20.00 per share for a cash payment of $230,000. The Company recognized an $32,373 deemed dividend during the year ended December 31, 2023, as a result of the extinguishment accounting associated with the redemption.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April 2023 Offering, (a) the exercise price of the Series A Warrants to purchase 2,465 shares of common stock at an exercise price of $4,025.00 per share that were issued to participants in the original PIPE financing had the exercise price reset to its floor price of $700.00 per share, while becoming exercisable for 14,186 shares of common stock (which resulted in the recognition of a $1.4 million deemed dividend); and (b) the remaining 235 shares of Series A Preferred Stock had their $3,500.00 original conversion price reset to the floor conversion price of $700.00 per share of common stock (which resulted in the recognition of a $37,000 deemed dividend).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triggering of the down round provision, the holders of 35 shares of Series A Preferred Stock converted into 50 shares of common stock at the new conversion price of $700.00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Series B Issuance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Company issued 5,062 shares of Series B Preferred Stock to certain vendors that provided services to the Company at a price of $1,000 per share in exchange for the satisfaction of $5,062,000 of Company liabilities.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B Preferred Stock is convertible, at the option of the holder, at any time into a number of shares of common stock equal to the face value divided by the conversion price then in effect (initially $3,500.00). In addition, for five years following the issuance of the Series B Preferred Stock, the conversion price is automatically adjusted to the greater of (a) $2,450.00; and (b) the lowest price of any subsequent offerings of securities at a price less than the conversion price.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price also resets at 150 days following the effectiveness of the registration of the Series B Preferred Stock (each a “Commencement Date”) to the greater of (a) $2,450.00; and (b) the lowest of the five consecutive daily volume-weighted average prices commencing on, and including, the Commencement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Series B Preferred stockholders have no voting rights and dividends will only be paid on an as-converted basis when, and if paid to common stockholders. In the event of any liquidation, dissolution or winding up of the Company each Series B Preferred stockholder shall be entitled to be paid out of the assets of the Company legally available for distribution, the stated value of their holdings, plus any accrued and unpaid dividends. The balance of any proceeds shall be distributed to Series B Preferred stockholders on an as-converted basis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 common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B Preferred Stock is not redeemable and, therefore, it is classified as permanent equity. The Company determined that the embedded conversion options were clearly and closely related to the preferred stock host and, therefore, the embedded conversion options need not be bifurcated. However, if the conversion price is reset in connection with a subsequent issuance of securities, the Company will need to assess the accounting for the price reset. Due to the Company’s adoption of ASU 2020-06 on January 1, 2021, it wasn’t necessary to assess the embedded conversion options for a beneficial conversion feature.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April 2023 Offering, the $3,500.00 original conversion price of the 5,062 shares of Series B Preferred Stock issued in connection with the Business Combination reset to its floor price of $2,450.00 per share of common stock (which resulted in the recognition of a $0.1 million deemed dividend).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recorded stock-based compensation expense of $705,567 (of which, $61,789 was included in research and development and $643,778 was included in general and administrative expense) related to options issued to employees and consultants. As of December 31, 2024, there was $321,893 of unrecognized stock-based compensation expense, which the Company expects to recognize over a weighted average period of 1.3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recorded stock-based compensation expense of $1,192,963 (of which, $132,767 was included in research and development and $1,060,196 was included in general and administrative expense) related to options issued to employees and consultants.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date fair value of stock options granted during the years ended December 31, 2024 and December 31, 2023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34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5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540" w:type="dxa"/>
            <w:vAlign w:val="bottom"/>
          </w:tcPr>
          <w:p>
            <w:pPr>
              <w:spacing w:after="0"/>
              <w:rPr>
                <w:sz w:val="19"/>
                <w:szCs w:val="19"/>
                <w:color w:val="auto"/>
              </w:rPr>
            </w:pPr>
          </w:p>
        </w:tc>
        <w:tc>
          <w:tcPr>
            <w:tcW w:w="10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Borders>
              <w:top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0"/>
        </w:trPr>
        <w:tc>
          <w:tcPr>
            <w:tcW w:w="55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2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$152.50 - $791.00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3.53% - 4.27%</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2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5.00 - 6.00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 - 123%</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2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4280" w:type="dxa"/>
            <w:vAlign w:val="bottom"/>
          </w:tcPr>
          <w:p>
            <w:pPr>
              <w:spacing w:after="0"/>
              <w:rPr>
                <w:sz w:val="19"/>
                <w:szCs w:val="19"/>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4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2,218.51</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1,760.50</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2,248.58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2,991.15</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1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20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38"/>
        </w:trPr>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0"/>
        </w:trPr>
        <w:tc>
          <w:tcPr>
            <w:tcW w:w="1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152.50</w:t>
            </w:r>
          </w:p>
        </w:tc>
        <w:tc>
          <w:tcPr>
            <w:tcW w:w="1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4,157</w:t>
            </w:r>
          </w:p>
        </w:tc>
        <w:tc>
          <w:tcPr>
            <w:tcW w:w="2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60" w:type="dxa"/>
            <w:vAlign w:val="bottom"/>
            <w:shd w:val="clear" w:color="auto" w:fill="CCEEFF"/>
          </w:tcPr>
          <w:p>
            <w:pPr>
              <w:spacing w:after="0"/>
              <w:rPr>
                <w:sz w:val="18"/>
                <w:szCs w:val="18"/>
                <w:color w:val="auto"/>
              </w:rPr>
            </w:pPr>
          </w:p>
        </w:tc>
      </w:tr>
      <w:tr>
        <w:trPr>
          <w:trHeight w:val="216"/>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738.50</w:t>
            </w:r>
          </w:p>
        </w:tc>
        <w:tc>
          <w:tcPr>
            <w:tcW w:w="16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r>
      <w:tr>
        <w:trPr>
          <w:trHeight w:val="216"/>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791.00</w:t>
            </w:r>
          </w:p>
        </w:tc>
        <w:tc>
          <w:tcPr>
            <w:tcW w:w="1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2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1,760.50</w:t>
            </w:r>
          </w:p>
        </w:tc>
        <w:tc>
          <w:tcPr>
            <w:tcW w:w="16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1,279</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w:t>
            </w:r>
          </w:p>
        </w:tc>
        <w:tc>
          <w:tcPr>
            <w:tcW w:w="60" w:type="dxa"/>
            <w:vAlign w:val="bottom"/>
          </w:tcPr>
          <w:p>
            <w:pPr>
              <w:spacing w:after="0"/>
              <w:rPr>
                <w:sz w:val="18"/>
                <w:szCs w:val="18"/>
                <w:color w:val="auto"/>
              </w:rPr>
            </w:pPr>
          </w:p>
        </w:tc>
      </w:tr>
      <w:tr>
        <w:trPr>
          <w:trHeight w:val="216"/>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3,965.50</w:t>
            </w:r>
          </w:p>
        </w:tc>
        <w:tc>
          <w:tcPr>
            <w:tcW w:w="1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2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r>
      <w:tr>
        <w:trPr>
          <w:trHeight w:val="216"/>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4,053.00</w:t>
            </w:r>
          </w:p>
        </w:tc>
        <w:tc>
          <w:tcPr>
            <w:tcW w:w="16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2,095</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8"/>
                <w:szCs w:val="18"/>
                <w:color w:val="auto"/>
              </w:rPr>
            </w:pPr>
          </w:p>
        </w:tc>
      </w:tr>
      <w:tr>
        <w:trPr>
          <w:trHeight w:val="230"/>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5,726.00</w:t>
            </w:r>
          </w:p>
        </w:tc>
        <w:tc>
          <w:tcPr>
            <w:tcW w:w="1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1,720</w:t>
            </w:r>
          </w:p>
        </w:tc>
        <w:tc>
          <w:tcPr>
            <w:tcW w:w="2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shd w:val="clear" w:color="auto" w:fill="CCEEFF"/>
          </w:tcPr>
          <w:p>
            <w:pPr>
              <w:spacing w:after="0"/>
              <w:rPr>
                <w:sz w:val="19"/>
                <w:szCs w:val="19"/>
                <w:color w:val="auto"/>
              </w:rPr>
            </w:pPr>
          </w:p>
        </w:tc>
      </w:tr>
      <w:tr>
        <w:trPr>
          <w:trHeight w:val="223"/>
        </w:trPr>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280" w:type="dxa"/>
            <w:vAlign w:val="bottom"/>
          </w:tcPr>
          <w:p>
            <w:pPr>
              <w:spacing w:after="0"/>
              <w:rPr>
                <w:sz w:val="19"/>
                <w:szCs w:val="19"/>
                <w:color w:val="auto"/>
              </w:rPr>
            </w:pP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2023, in connection with the July 2023 Offering (see Registered Equity Offerings above), the Company amended the exercise price of certain warrants to purchase 3,938 shares of common stock for three investors from $350.00 to $57.75 per share and the expiration date was modified from April 28, 2028 to July 28, 2028. The $47,300 incremental fair value of the modified warrants as compared to the original warrants was recognized as an additional issuance cost of the July 2023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 August 8 and September 8, 2023, a July 2023 Offering investor exercised pre-funded warrants to purchase an aggregate of 27,057 shares of common stock at an exercise price of $0.04 per share for total proceeds of $947.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Between September 13 and September 18, 2023, the Company initiated a limited time program, which at the election of the warrant holder, would permit them to immediately exercise their July 2023 Warrants at a reduced exercise price of $47.50 per share and they would also be granted new 5.5-year warrants to purchase an equal number of shares of common stock at an exercise price of $47.50 per share. The new warrants are not exercisable for the first six months. Under the program, warrants to purchase an aggregate of 20,347 shares of common stock were exercised on September 14, 2023 for gross proceeds of $966,400 less total issuance costs of $208,702. Issuance costs include placement agent fees of $57,980, legal costs of $16,131, and warrant modification costs of $134,591. Because the modification represented a short-term inducement, modification accounting was only performed on the warrants that were actually exercised under the program. The Company recognized the $134,591 modification date incremental value of the modified warrants and additional warrants issued as compared to the original warrants, as an issuance cost of the warrant exercise.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February 26, 2024 and March 6, 2024, investors in the registered offering completed on December 11, 2023 (the “December 2023 Offering”) exercised warrants to purchase 213,800 shares of common stock at an exercise price of $12.50 per share for total proceeds of $2,672,500.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January 17 and February 23, 2024, a December 2023 Offering investor exercised pre-funded warrants to purchase 131,500 shares of common stock on a cashless basis and received 131,481 shares of common stock at an exercise price of $0.001 per share.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2024, the Company initiated a limited time program, which was immediately accepted by the warrant holder, that permitted the holder to exercise its December 2023 Offering warrants at a reduced exercise price of $3.46 per share and granted new warrants to purchase up to (i) 392,000 shares of common stock which became exercisable upon stockholder approval with an exercise term of five years and (ii) 86,600 shares of common stock which became exercisable upon stockholder approval with an exercise term of 18 months. The Company received stockholder approval for the warrants on October 29, 2024 and the warrants have an exercise price of $3.46 per share. Under the program, the warrant holder submitted an exercise notice and the related aggregate cash exercise price to purchase 239,300 shares of common stock on August 1, 2024 for gross proceeds of $827,978 less issuance costs of $427,054. Issuance costs included placement agent fees of $50,000, placement agent legal fees of $50,000, Company legal fees of $57,267, other expenses of $22,875 and warrant modification costs of $246,912. Because the modification represented a short-term inducement, modification accounting was only performed on the warrants that were actually exercised under the program. The Company recognized the $246,912 modification date incremental value of the modified warrants and additional warrants issued as compared to the original warrants, as an issuance cost of the warrant exercise.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5, 2024, the Company initiated a limited time program, which was immediately accepted by the warrant holder, that permitted the holder to exercise 339,900 of its December 2023 and 478,600 of its August 2024 Common Stock Purchase warrants at a reduced exercise price of $2.06 per share from $12.50 and $3.46 per share, respectively. New warrants were granted to purchase 1,637,000 shares of common stock at an exercise price of $2.06 per share with an exercise term of 5 years from stockholder approval. Under the program, the warrant holders submitted exercise notices and the related aggregate cash exercise price to purchase an aggregate of 818,500 shares of common stock on November 5, 2024 for gross proceeds of $1,686,110. Issuance costs include financial advisor fees of $110,000, reimbursement to the financial advisor for non-accountable fees of $10,000, legal and other fees of $75,187, and warrant modification costs of $2,786,372. Because the Existing Warrants and the shares issued in connection with their exercise were equity classified, and because the Reload Warrants are equity classified, and because the Existing Warrant modification was in connection with an equity financing transaction to raise capital, the Company recognized the $2,786,372 modification date incremental value of the modified warrants and additional warrants issued as compared to the original warrants, as an issuance cost of the warrant exercise.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date fair value of stock warrants issued during the years ended December 31, 2024 and 2023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344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5540" w:type="dxa"/>
            <w:vAlign w:val="bottom"/>
          </w:tcPr>
          <w:p>
            <w:pPr>
              <w:spacing w:after="0"/>
              <w:rPr>
                <w:sz w:val="20"/>
                <w:szCs w:val="20"/>
                <w:color w:val="auto"/>
              </w:rPr>
            </w:pPr>
          </w:p>
        </w:tc>
        <w:tc>
          <w:tcPr>
            <w:tcW w:w="344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5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r>
      <w:tr>
        <w:trPr>
          <w:trHeight w:val="209"/>
        </w:trPr>
        <w:tc>
          <w:tcPr>
            <w:tcW w:w="5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$2.54 - $3.46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$47.50 - $350.00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 - 4.62%</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 - 4.42%</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0.6 - 5.3 years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 - 111%</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 - 123%</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0"/>
        </w:trPr>
        <w:tc>
          <w:tcPr>
            <w:tcW w:w="4280" w:type="dxa"/>
            <w:vAlign w:val="bottom"/>
          </w:tcPr>
          <w:p>
            <w:pPr>
              <w:spacing w:after="0"/>
              <w:rPr>
                <w:sz w:val="19"/>
                <w:szCs w:val="19"/>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40" w:type="dxa"/>
            <w:vAlign w:val="bottom"/>
          </w:tcPr>
          <w:p>
            <w:pPr>
              <w:spacing w:after="0"/>
              <w:rPr>
                <w:sz w:val="20"/>
                <w:szCs w:val="20"/>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4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Outstanding, January 1, 2024 </w:t>
            </w:r>
            <w:r>
              <w:rPr>
                <w:rFonts w:ascii="Times New Roman" w:cs="Times New Roman" w:eastAsia="Times New Roman" w:hAnsi="Times New Roman"/>
                <w:sz w:val="29"/>
                <w:szCs w:val="29"/>
                <w:color w:val="auto"/>
                <w:vertAlign w:val="superscript"/>
              </w:rPr>
              <w:t>[1]</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903,320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123.44</w:t>
            </w: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2,115,600</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4,053.00</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2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9"/>
                <w:szCs w:val="29"/>
                <w:color w:val="auto"/>
                <w:vertAlign w:val="superscript"/>
              </w:rPr>
              <w:t>[2]</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(1,271,600)</w:t>
            </w:r>
          </w:p>
        </w:tc>
        <w:tc>
          <w:tcPr>
            <w:tcW w:w="24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4.08</w:t>
            </w: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2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[3]</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(239,300)</w:t>
            </w:r>
          </w:p>
        </w:tc>
        <w:tc>
          <w:tcPr>
            <w:tcW w:w="2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6"/>
        </w:trPr>
        <w:tc>
          <w:tcPr>
            <w:tcW w:w="42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[3]</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239,300</w:t>
            </w:r>
          </w:p>
        </w:tc>
        <w:tc>
          <w:tcPr>
            <w:tcW w:w="24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w:t>
            </w: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2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[4]</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(339,900)</w:t>
            </w:r>
          </w:p>
        </w:tc>
        <w:tc>
          <w:tcPr>
            <w:tcW w:w="2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2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[4]</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339,900</w:t>
            </w:r>
          </w:p>
        </w:tc>
        <w:tc>
          <w:tcPr>
            <w:tcW w:w="24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42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[5]</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(478,600)</w:t>
            </w:r>
          </w:p>
        </w:tc>
        <w:tc>
          <w:tcPr>
            <w:tcW w:w="2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3.46</w:t>
            </w: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70"/>
        </w:trPr>
        <w:tc>
          <w:tcPr>
            <w:tcW w:w="42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478,600</w:t>
            </w:r>
          </w:p>
        </w:tc>
        <w:tc>
          <w:tcPr>
            <w:tcW w:w="240" w:type="dxa"/>
            <w:vAlign w:val="bottom"/>
          </w:tcPr>
          <w:p>
            <w:pPr>
              <w:spacing w:after="0"/>
              <w:rPr>
                <w:sz w:val="23"/>
                <w:szCs w:val="23"/>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1,747,093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109,893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913.41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outstanding and exercisable exclude 131,500 Pre-Funded Warrants with an exercise price of $0.001.</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exercised exclude 131,500 December 2023 Pre-Funded Warrants exercised with an exercise price of $0.001.</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December 11, 2023 Series A and Series B warrants to purchase 239,300 shares of common stock to a price of $3.46 per share.</w:t>
      </w:r>
    </w:p>
    <w:p>
      <w:pPr>
        <w:ind w:left="660" w:hanging="652"/>
        <w:spacing w:after="0" w:line="25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December 11, 2023 Series A and Series B warrants to purchase 339,900 shares of common stock to a price of $2.06 per share.</w:t>
      </w:r>
    </w:p>
    <w:p>
      <w:pPr>
        <w:ind w:left="660" w:hanging="652"/>
        <w:spacing w:after="0" w:line="260"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August 1, 2024 Series A-1 and Series B-1 warrants to purchase 478,600 shares of common stock to a price of $2.06 per share.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warrants as of December 31, 2024:</w:t>
            </w: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560" w:type="dxa"/>
            <w:vAlign w:val="bottom"/>
          </w:tcPr>
          <w:p>
            <w:pPr>
              <w:spacing w:after="0"/>
              <w:rPr>
                <w:sz w:val="24"/>
                <w:szCs w:val="24"/>
                <w:color w:val="auto"/>
              </w:rPr>
            </w:pPr>
          </w:p>
        </w:tc>
        <w:tc>
          <w:tcPr>
            <w:tcW w:w="3740" w:type="dxa"/>
            <w:vAlign w:val="bottom"/>
            <w:gridSpan w:val="4"/>
          </w:tcPr>
          <w:p>
            <w:pPr>
              <w:jc w:val="right"/>
              <w:ind w:right="192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480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r>
      <w:tr>
        <w:trPr>
          <w:trHeight w:val="187"/>
        </w:trPr>
        <w:tc>
          <w:tcPr>
            <w:tcW w:w="1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320" w:type="dxa"/>
            <w:vAlign w:val="bottom"/>
          </w:tcPr>
          <w:p>
            <w:pPr>
              <w:spacing w:after="0"/>
              <w:rPr>
                <w:sz w:val="16"/>
                <w:szCs w:val="16"/>
                <w:color w:val="auto"/>
              </w:rPr>
            </w:pPr>
          </w:p>
        </w:tc>
        <w:tc>
          <w:tcPr>
            <w:tcW w:w="250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Exercisable</w:t>
            </w:r>
          </w:p>
        </w:tc>
        <w:tc>
          <w:tcPr>
            <w:tcW w:w="80" w:type="dxa"/>
            <w:vAlign w:val="bottom"/>
            <w:gridSpan w:val="2"/>
          </w:tcPr>
          <w:p>
            <w:pPr>
              <w:spacing w:after="0"/>
              <w:rPr>
                <w:sz w:val="16"/>
                <w:szCs w:val="16"/>
                <w:color w:val="auto"/>
              </w:rPr>
            </w:pPr>
          </w:p>
        </w:tc>
      </w:tr>
      <w:tr>
        <w:trPr>
          <w:trHeight w:val="230"/>
        </w:trPr>
        <w:tc>
          <w:tcPr>
            <w:tcW w:w="15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2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38"/>
        </w:trPr>
        <w:tc>
          <w:tcPr>
            <w:tcW w:w="15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09"/>
        </w:trPr>
        <w:tc>
          <w:tcPr>
            <w:tcW w:w="1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w:t>
            </w:r>
          </w:p>
        </w:tc>
        <w:tc>
          <w:tcPr>
            <w:tcW w:w="2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1,637,000</w:t>
            </w:r>
          </w:p>
        </w:tc>
        <w:tc>
          <w:tcPr>
            <w:tcW w:w="2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2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7,000</w:t>
            </w:r>
          </w:p>
        </w:tc>
        <w:tc>
          <w:tcPr>
            <w:tcW w:w="2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6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47.50</w:t>
            </w:r>
          </w:p>
        </w:tc>
        <w:tc>
          <w:tcPr>
            <w:tcW w:w="2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20,347</w:t>
            </w:r>
          </w:p>
        </w:tc>
        <w:tc>
          <w:tcPr>
            <w:tcW w:w="2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20,347</w:t>
            </w:r>
          </w:p>
        </w:tc>
        <w:tc>
          <w:tcPr>
            <w:tcW w:w="6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57.75</w:t>
            </w:r>
          </w:p>
        </w:tc>
        <w:tc>
          <w:tcPr>
            <w:tcW w:w="2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19,965</w:t>
            </w:r>
          </w:p>
        </w:tc>
        <w:tc>
          <w:tcPr>
            <w:tcW w:w="2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19,965</w:t>
            </w:r>
          </w:p>
        </w:tc>
        <w:tc>
          <w:tcPr>
            <w:tcW w:w="6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350.00</w:t>
            </w:r>
          </w:p>
        </w:tc>
        <w:tc>
          <w:tcPr>
            <w:tcW w:w="2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27,551</w:t>
            </w:r>
          </w:p>
        </w:tc>
        <w:tc>
          <w:tcPr>
            <w:tcW w:w="2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27,551</w:t>
            </w:r>
          </w:p>
        </w:tc>
        <w:tc>
          <w:tcPr>
            <w:tcW w:w="6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700.00</w:t>
            </w:r>
          </w:p>
        </w:tc>
        <w:tc>
          <w:tcPr>
            <w:tcW w:w="2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13,944</w:t>
            </w:r>
          </w:p>
        </w:tc>
        <w:tc>
          <w:tcPr>
            <w:tcW w:w="2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13,944</w:t>
            </w:r>
          </w:p>
        </w:tc>
        <w:tc>
          <w:tcPr>
            <w:tcW w:w="6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1,760.50</w:t>
            </w:r>
          </w:p>
        </w:tc>
        <w:tc>
          <w:tcPr>
            <w:tcW w:w="2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2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2,415.00</w:t>
            </w:r>
          </w:p>
        </w:tc>
        <w:tc>
          <w:tcPr>
            <w:tcW w:w="2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3,651</w:t>
            </w:r>
          </w:p>
        </w:tc>
        <w:tc>
          <w:tcPr>
            <w:tcW w:w="2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3,651</w:t>
            </w:r>
          </w:p>
        </w:tc>
        <w:tc>
          <w:tcPr>
            <w:tcW w:w="60" w:type="dxa"/>
            <w:vAlign w:val="bottom"/>
          </w:tcPr>
          <w:p>
            <w:pPr>
              <w:spacing w:after="0"/>
              <w:rPr>
                <w:sz w:val="18"/>
                <w:szCs w:val="18"/>
                <w:color w:val="auto"/>
              </w:rPr>
            </w:pPr>
          </w:p>
        </w:tc>
      </w:tr>
      <w:tr>
        <w:trPr>
          <w:trHeight w:val="229"/>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4,025.00</w:t>
            </w:r>
          </w:p>
        </w:tc>
        <w:tc>
          <w:tcPr>
            <w:tcW w:w="2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17,335</w:t>
            </w:r>
          </w:p>
        </w:tc>
        <w:tc>
          <w:tcPr>
            <w:tcW w:w="2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17,335</w:t>
            </w:r>
          </w:p>
        </w:tc>
        <w:tc>
          <w:tcPr>
            <w:tcW w:w="60" w:type="dxa"/>
            <w:vAlign w:val="bottom"/>
            <w:shd w:val="clear" w:color="auto" w:fill="CCEEFF"/>
          </w:tcPr>
          <w:p>
            <w:pPr>
              <w:spacing w:after="0"/>
              <w:rPr>
                <w:sz w:val="19"/>
                <w:szCs w:val="19"/>
                <w:color w:val="auto"/>
              </w:rPr>
            </w:pPr>
          </w:p>
        </w:tc>
      </w:tr>
      <w:tr>
        <w:trPr>
          <w:trHeight w:val="223"/>
        </w:trPr>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1,747,093</w:t>
            </w:r>
          </w:p>
        </w:tc>
        <w:tc>
          <w:tcPr>
            <w:tcW w:w="320" w:type="dxa"/>
            <w:vAlign w:val="bottom"/>
          </w:tcPr>
          <w:p>
            <w:pPr>
              <w:spacing w:after="0"/>
              <w:rPr>
                <w:sz w:val="19"/>
                <w:szCs w:val="19"/>
                <w:color w:val="auto"/>
              </w:rPr>
            </w:pPr>
          </w:p>
        </w:tc>
        <w:tc>
          <w:tcPr>
            <w:tcW w:w="2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3.34</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Effectiveness Failure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conducted the Series A Preferred Stock Financing. On or about February 20, 2023, the Company failed to have the SEC declare a registration statement effective (the “Effectiveness Failure”) which covered the Series A Preferred Stock registrable securities within the time period prescribed by the Securities Purchase Agreement (the “SPA”). The SPA entitles the investors to receive registration delay payments (“Registration Delay Payments”) equal to 1.5% of each investor’s purchase price on the date of the Effectiveness Failure and every thirty days thereafter that the Effectiveness Failure persists. Failure to make the Registration Delay Payments on a timely basis result in the accrual of interest at the rate of 2.0% per month. On April 28, 2023, the proceeds from the April 2023 Offering were used to make most of the Registration Delay Payments and redeem substantially all of the Series A Preferred Stock (see Series A Preferred Stock Financing above). As of December 31, 2024, the Company has accrued additional Registration Delay Payments of approximately $7,261 in the aggregate.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reporting segment (clinical stage biopharmaceutical), namely, the development of drugs for patients with chronic renal or inflammatory diseases with high unmet medical needs. The accounting policies of the segment are the same as those described in the summary of significant accounting policies. The chief operating decision maker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consolidated statements of operations and comprehensive loss. The measure of segment assets is reported on the balance sheet as total assets. The Company has not yet generated any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Based upon the evaluation, the Company did not identify any recognized or non-recognized subsequent events that would have required adjustment or disclosure in the financial statements, except as discussed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7, 2025, the Company entered into a private placement (the “Private Placement”) with an institutional investor, pursuant to which the Company agreed to sell pre-funded warrants (the “March 2025 Pre-Funded Warrants”) to purchase 2,105,265 shares of common stock and Series A-3 common warrants (the “March 2025 Common Warrants”) to purchase 2,105,265 shares of common stock at a combined purchase price of $0.9499 which resulted in gross proceeds of $2.0 million. In addition, the Company and the investor entered into an amendment to certain November 5, 2024 common share purchase warrants to reduce the exercise price of the warrants to purchase 957,200 shares of common stock from $2.06 per share to $1.00 per share. The March 2025 Pre-Funded Warrants are exercisable immediately, may be exercised at any time until all March 2025 Pre-Funded Warrants are exercised in full, and have an exercise price of $0.0001 per share. The March 2025 Common Warrants are exercisable upon Stockholder Approval for a term of five years following stockholder approval and have an exercise price of $1.00 per share. Issuance costs include financial advisor fees of 6.5% of gross proceeds plus reimbursement of certain non-accountable and other expenses.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9870" cy="7029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149987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COMPANY POLICY ON INSIDER TRADING AND POLICY REGARDING SPECIAL TRADING PROCEDURES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Approved by the Board of Directors on December 12, 2022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Two copies of this Statement of Company Policy on Insider Trading and Policy Regarding Special Trading Procedures (collectively, this “Policy”) are being provided to you. You should read this Policy, address questions to Peter Wolfe, the Chief Financial Officer of ZyVersa Therapeutics, Inc. (the “Company”) and return one signed copy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Peter Wolfe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pwolfe@zyversa.com</w:t>
      </w:r>
    </w:p>
    <w:p>
      <w:pPr>
        <w:spacing w:after="0" w:line="203"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STATEMENT ON INSIDER TRADING</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has adopted a policy on insider trading (the “Policy”) that applies to each officer, director and employee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statement regarding such policy has been distributed to all officers, directors and employees. It is the policy of the Company that no director, officer or other employee (or any other person designated by this Policy or the Company’s Chief Financial Officer) who is aware of material nonpublic information related to the Company may, directly or indirectly, through family members or other persons or entities:</w:t>
      </w:r>
    </w:p>
    <w:p>
      <w:pPr>
        <w:spacing w:after="0" w:line="180" w:lineRule="exact"/>
        <w:rPr>
          <w:sz w:val="20"/>
          <w:szCs w:val="20"/>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the securities of the Company (except as otherwise expressly provided in this Policy);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that any other person engage in transactions in the securities of the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to persons outside of the Company, including, but not limited to, family, friends, business associates, investors and expert consulting firms, unless such disclosure is made in accordance with the Company’s policies regarding the protection or authorized external disclosure of information regarding the Company; or</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term “Company” refers to ZyVersa Therapeutics, Inc., its subsidiaries and its affiliates, collectively or individually,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7830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applies to all directors, officers and employees of the Company, its subsidiaries and its affiliates. You must read, sign and retain this Policy statement and, upon request by the Company, re-acknowledge it.</w:t>
      </w:r>
    </w:p>
    <w:p>
      <w:pPr>
        <w:spacing w:after="0" w:line="158"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DISCUSSION: WHAT IS “INSIDER TRADING”?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Insider trading is, in addition to being a violation of this Policy, a violation of securities laws. The penalties for insider trading are discussed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“insider trading” generally is used to refer to the use of material, nonpublic information to trade in securities or to communications of material, nonpublic information to others who may trade on the basis of such information.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While the law concerning insider trading is not static, it is generally understood that the law prohibits insiders of the Company from doing the following:</w:t>
      </w:r>
    </w:p>
    <w:p>
      <w:pPr>
        <w:spacing w:after="0" w:line="162"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Company’s securities while in possession of material, nonpublic information concerning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others trade on the insider’s behalf while he or she is in possession of material, nonpublic information.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nonpublic information concerning the Company or other companies that the Company does business with to others who may then trade in the Company’s securities or pass on the information to others who may trade in the Company’s securities. Such conduct, also known as “tipping,” violates laws that impose strict penalties upon both companies and individuals, including both financial sanctions and prison. Tipping results in civil and criminal liability for the insider of the Company who communicates such information, even if such insider does not actually trade himself, and for the person who received the information if the person has reason to know that it was an improper disclosure and acts on such information or passes it on to others who may act on it.1</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elements of insider trading and the potential penalties for such unlawful conduct are discussed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19" w:lineRule="auto"/>
        <w:tabs>
          <w:tab w:leader="none" w:pos="340"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When calculating the civil and criminal liability of a tipper, a tipper may be held responsible for the profits of his “tippees.” This means that the tipper may be required to pay back the government all of the profits received by his tippee (and others in the chain of the tip), even if the tipper did not actually profit. Similarly, the profits of a tippee may be used to calculate the prison sentence of the tipper, which may extend the length of any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1097915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137795</wp:posOffset>
            </wp:positionV>
            <wp:extent cx="5846445" cy="676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21"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Who is an Insider?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concept of “insider” generally includes any person who possesses nonpublic information about the Company and who has a duty to the Company to keep this information confidential. This Policy applies to all directors, officers and employees of the Company and its subsidiaries. In addition, the Company may determine that other persons should be subject to this Policy, such as service providers, contractors or consultants who have access to material nonpublic information in connection with such service. Outsiders who could be subject to this Policy include, among others, the Company’s attorneys, accountants, consultants, advisory board members, investment bankers and the employees of such organizations.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also applies to your family members who reside with you (including a spouse, child, child away at college, stepchildren, grandchildren, parents, stepparents, grandparents, siblings and in-laws), anyone else who lives in your household, and any family members whose transactions in the Company securities are directed by you or are subject to your influence or control (collectively referred to as “family members”). This Policy further applies to any entities that you influence or control, including any corporations, partnerships or trusts (collectively referred to as “controlled entities”).</w:t>
      </w:r>
    </w:p>
    <w:p>
      <w:pPr>
        <w:spacing w:after="0" w:line="179"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What is Material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Information” generally is defined as information for which there is a substantial likelihood that a reasonable investor would consider such information important in making his or her investment decisions, or information that could be reasonably expected to affect the price of a company’s securities, whether it is positive or negative. It is important to remember that materiality will always be judged with the benefit of hindsight.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there is no precise definition of materiality, information is likely to be “material” if it relates to:</w:t>
      </w:r>
    </w:p>
    <w:p>
      <w:pPr>
        <w:spacing w:after="0" w:line="225"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expectations for the quarter or the year;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forecasts or projections of future earnings or losses, or other earnings guidance;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milestones;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dividends, the declaration of a stock split or an offering of additional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or agreements involving a merger, acquisition, tender offer, joint venture, divestiture or leveraged buy-out;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major customers, or obtaining or losing important contracts;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product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676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financing developments;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personnel changes;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indictments or material civil litigation or government investigations;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disputes with major suppliers or 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including strikes or lockouts;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change in accounting methods;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or liquidity problems;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or private sales of debt or equity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calls, redemptions or repurchases of the Company’s securities;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auditors or notification that the auditor’s reports may no longer be relied upon.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“Inside” information could be material because of its expected effect on the price of the Company’s securities, the securities of another company or the securities of several companies. Moreover, the resulting prohibition against the misuse of “inside” information includes not only restrictions on trading in the Company’s securities but restrictions on trading in the securities of other companies affected by the inside information.</w:t>
      </w:r>
    </w:p>
    <w:p>
      <w:pPr>
        <w:spacing w:after="0" w:line="172"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What is Nonpublic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order for information to qualify as “inside” information it must not only be “material,” it must be “nonpublic.” “Nonpublic” information is information which has not been made available to investors generally. This includes information received from sources or in circumstances indicating the information has not yet been generally circulated.</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At such time as material, nonpublic information has been released to the investing public, it loses its status as “inside” information. However, for “nonpublic” information to become public information it must be disseminated through recognized channels of distribution designed to reach the securities marketplace or public disclosure documents filed with the SEC that are available on EDGAR, and sufficient time must pass for the information to become available in the market.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show that “material” information is public, it is generally necessary to point to some fact verifying that the information has become generally available, such as disclosure by filing of a Quarterly Report on Form 10-Q, Annual Report on Form 10-K, Current Report on Form 8-K or other report with the Securities and Exchange Commission or disclosure by press release to a national business and financial wire service (such as Dow Jones or Reuters), a national news service or a national newspaper (such as The Wall Street Journal). The circulation of rumors or “talk on the street,” even if accurate, widespread and reported in the media, does not constitute the requisite public disclosure.</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Material, nonpublic information is not made public by selective dissemination. Material information improperly disclosed only to institutional investors or to a favored analyst or a group of analysts retains its status as “nonpublic” information, the use of which is subject to insider trading laws. Similarly, partial disclosure does not constitute public dissemination. So long as any material component of the “inside” information has yet to be publicly disclosed, the information is deemed “nonpublic” and may not be misused.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the policy of the Company to not consider material information public until the second business day after appropriate public dissemination.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676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21"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What Transactions Are Subject to this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including common stock, options or warrants to purchase common stock, or any other securities that the Company may issue, as well as derivative securities that are not issued by the Company, such as exchange-traded put or call options or swaps relating to the Company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Policy does not apply to the following transactions, except as specifically noted:</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This Policy does not apply to the exercise of any employee stock option acquired pursuant 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of a tax withholding right pursuant to which you elect to have the Company withhold shares of stock to satisfy tax withholding requirements upon the vesting of any restricted stock. This Policy, however, does apply to any market sale of restricted stock.</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the Company</w:t>
      </w:r>
      <w:r>
        <w:rPr>
          <w:rFonts w:ascii="Times New Roman" w:cs="Times New Roman" w:eastAsia="Times New Roman" w:hAnsi="Times New Roman"/>
          <w:sz w:val="18"/>
          <w:szCs w:val="18"/>
          <w:color w:val="auto"/>
        </w:rPr>
        <w:t>. This Policy does not apply to the purchase of the Company securities from the Company or the sale of the Company securities to the Company.</w:t>
      </w:r>
    </w:p>
    <w:p>
      <w:pPr>
        <w:spacing w:after="0" w:line="158"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What Are the Consequences of Violations of This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Engaging in securities transactions while aware of material, nonpublic information, or the disclosure of material, nonpublic information is illegal.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for the purchase or sale of securities, while aware of material, nonpublic information, or communicating material, nonpublic information to others who then trade in such securities, are severe, both for the individuals involved in such unlawful conduct and, potentially, for their employers. A person can be subject to some or all of the penalties below even if he or she does not personally benefit from the violation (i.e., if the violation was one for tipping information). Penalties include:</w:t>
      </w:r>
    </w:p>
    <w:p>
      <w:pPr>
        <w:spacing w:after="0" w:line="180"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10 years;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677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5846445" cy="677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for the person who committed the violation of up to three times the profit gained or loss avoided, whether or not the person actually benefited;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(no matter how small the profit) up to $1 million;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for the employer or other controlling person, such as a supervisor, of up to the greater of $1,000,000 or three times the amount of the profit gained or loss avoided.</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 violation of this Policy can be expected to result in serious sanctions by the Company, which may include dismissal for cause of the person involved, whether or not the employee’s failure to comply with this Policy results in a violation of law.</w:t>
      </w:r>
    </w:p>
    <w:p>
      <w:pPr>
        <w:spacing w:after="0" w:line="158"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REGARDING SPECIAL TRADING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Special Trading Policies are applicable to all directors, officers and employees of the Company.</w:t>
      </w:r>
    </w:p>
    <w:p>
      <w:pPr>
        <w:spacing w:after="0" w:line="221"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Windows and Pre-Clearance.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times when the Company may be engaged in a material, nonpublic development. Although you may not know the specifics of the development, if you engaged in a trade before such development was disclosed to the public or resolved you might expose yourself and the Company to a charge of insider trading that could be costly and difficult to refute. In addition, a trade by you during such a development could result in significant adverse publicity for the Company.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Therefore, except pursuant to paragraph 3 below, you, your family members and controlled entities may only purchase or sell securities of the Company during the three or four “trading windows” that occur each year and only after pre-clearing your intent to trade with the Company’s Chief Financial Officer.</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windows consist of the period that begins on the second business day after issuance of a press release or other announcement by the Company disclosing quarterly or annual earnings through the date which is 14 days prior to the quarter or fiscal year end. To the extent a second trading window begins during the duration of an existing trading window, the trading window will continue for the duration of the trading window that expires on the latest date. In accordance with the procedure for waivers described below, in special circumstances a waiver may be given to allow a trade to occur outside of a trading window.</w:t>
      </w:r>
    </w:p>
    <w:p>
      <w:pPr>
        <w:spacing w:after="0" w:line="18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If you intend to engage in a trade during a trading window you must first receive permission to engage in a trade from the Company’s Chief Financial Officer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Company’s Chief Financial Officer may refuse to permit any transaction if he or she determines that it could give rise to a charge of insider trading. The Company’s Chief Financial Officer may seek advice of outside counsel as he or she may consider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8" w:lineRule="exact"/>
        <w:rPr>
          <w:sz w:val="20"/>
          <w:szCs w:val="20"/>
          <w:color w:val="auto"/>
        </w:rPr>
      </w:pPr>
    </w:p>
    <w:p>
      <w:pPr>
        <w:ind w:left="340" w:hanging="332"/>
        <w:spacing w:after="0" w:line="195" w:lineRule="auto"/>
        <w:tabs>
          <w:tab w:leader="none" w:pos="34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the Company’s Chief Financial Officer will be absent from the office or unavailable for a significant period of time, he or she will designate another executive officer of the Company to handle trading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138430</wp:posOffset>
            </wp:positionV>
            <wp:extent cx="5846445" cy="676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receiving permission to engage in a trade, you should either complete your trade within three business days or make a new trading request.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exercise of options to purchase for cash and hold common stock of the Company or the purchase from the Company of common stock of the Company is not subject to the Special Trading Procedures outlined above, but the shares so acquired may not be sold except during a trading window, after authorization from the Company’s Chief Financial Officer has been received and after all other requirements of this Policy have been satisfied. Accordingly, the exercise of options and immediate sale of some or all of the shares through a broker is covered by these Special Trading Procedures.</w:t>
      </w:r>
    </w:p>
    <w:p>
      <w:pPr>
        <w:spacing w:after="0" w:line="176"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Event-Specific Black-out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or officers. So long as the event remains material and nonpublic, the persons who are aware of the event, as well as other persons covered by these Special Trading Procedures, may not trade in the Company’s securities. The existence of an event-specific blackout will not be announced, other than it may be announced to those who are aware of the event giving rise to the blackout. If, however, a person whose trades are subject to pre-clearance requests permission to trade in the Company’s securities during an event-specific blackout, the Company’s Chief Financial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Company’s Chief Financial Officer to designate a person as being subject to an event-specific blackout will not relieve that person of the obligation not to trade while aware of material, nonpublic information.</w:t>
      </w:r>
    </w:p>
    <w:p>
      <w:pPr>
        <w:spacing w:after="0" w:line="188"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Rule 10b5-1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Securities and Exchange Commission has established regulations under which individuals may purchase and sell securities in compliance with “insider trading” laws (more specifically, Rule 10b5-1 of the Securities Exchange Act of 1934) if such purchases or sales are made pursuant to (i) a binding contract to purchase or sell the security, (ii) instructions provided to a third person to execute the trade for the instructing person or entity’s account or (iii) an adopted written plan for trading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decision to enter into such contract or plan or decision to provide such instructions, you were not aware of material, nonpublic information. </w:t>
      </w:r>
      <w:r>
        <w:rPr>
          <w:rFonts w:ascii="Times New Roman" w:cs="Times New Roman" w:eastAsia="Times New Roman" w:hAnsi="Times New Roman"/>
          <w:sz w:val="18"/>
          <w:szCs w:val="18"/>
          <w:u w:val="single" w:color="auto"/>
          <w:color w:val="auto"/>
        </w:rPr>
        <w:t>In addition to other requirements set forth in such regulations</w:t>
      </w:r>
      <w:r>
        <w:rPr>
          <w:rFonts w:ascii="Times New Roman" w:cs="Times New Roman" w:eastAsia="Times New Roman" w:hAnsi="Times New Roman"/>
          <w:sz w:val="18"/>
          <w:szCs w:val="18"/>
          <w:color w:val="auto"/>
        </w:rPr>
        <w:t>, the contract, instructions or plan must (a) specify the amount, price and date of the purchase or sale or (b) provide a written formula or algorithm or computer program for determining the amounts, prices and dates of such purchases or sales.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Under the Company’s policy, you, your family members and your controlled entities may only enter into a contract or plan or provide instructions for the purchase or sale of securities of the Company in compliance with these regulations after receiving written pre-clearance from the Company’s Chief Financial Officer.</w:t>
      </w:r>
      <w:r>
        <w:rPr>
          <w:rFonts w:ascii="Times New Roman" w:cs="Times New Roman" w:eastAsia="Times New Roman" w:hAnsi="Times New Roman"/>
          <w:sz w:val="18"/>
          <w:szCs w:val="18"/>
          <w:b w:val="1"/>
          <w:bCs w:val="1"/>
          <w:color w:val="auto"/>
        </w:rPr>
        <w:t xml:space="preserve"> A copy of the Rule 10b5-1 Plan should be submitted for approval at least three business days prior to the entry into the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1077595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125730</wp:posOffset>
            </wp:positionV>
            <wp:extent cx="5846445" cy="676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21"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Post-Trade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are required to report to the Company’s Chief Financial Officer any transaction in securities of the Company by you, your family members or controlled entities not later than the business day following the date of your transaction. Each report you make to the Company’s Chief Financial Officer should include the date of the transaction, quantity, price and broker through which the transaction was effected. This reporting requirement may be satisfied by sending (or having your broker send) duplicate confirmations of trades to the Company’s Chief Financial Officer if such information is received by the required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reporting requirement is designed to help monitor compliance with the Special Trading Procedures set forth herein and to enable the Company to help those persons who are subject to reporting obligations under Section 16 of the Securities Exchange Act of 1934 to comply with such reporting obligations. Each officer and director, however, and not the Company, is personally responsible for ensuring that his or her transactions do not give rise to “short swing” liability under Section 16 and for filing timely reports of transactions with the Securities and Exchange Commission.</w:t>
      </w:r>
    </w:p>
    <w:p>
      <w:pPr>
        <w:spacing w:after="0" w:line="176"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the Company’s Statement of Company Policy on Insider Trading.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Even if you receive pre-clearance and it is during a trading window, you, your family members and your controlled entities may not trade in securities of the Company if you are in possession of material, nonpublic information about the Company. The procedures set forth herein are in addition to the general insider trading policy and are not a substitute therefor.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PROHIBITION AGAINST CERTAIN TRANSACTIONS</w:t>
      </w:r>
    </w:p>
    <w:p>
      <w:pPr>
        <w:spacing w:after="0" w:line="225" w:lineRule="exact"/>
        <w:rPr>
          <w:sz w:val="20"/>
          <w:szCs w:val="20"/>
          <w:color w:val="auto"/>
        </w:rPr>
      </w:pPr>
    </w:p>
    <w:p>
      <w:pPr>
        <w:ind w:left="1300" w:hanging="644"/>
        <w:spacing w:after="0" w:line="286"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Prohibition on Short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you, your family members nor your controlled entities may sell any securities of the Company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owned by such person at the time of the sale (a “short sale”) including a “sale against the box” (a sale with delayed delivery).</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Trading in Standardized Options</w:t>
      </w:r>
      <w:r>
        <w:rPr>
          <w:rFonts w:ascii="Times New Roman" w:cs="Times New Roman" w:eastAsia="Times New Roman" w:hAnsi="Times New Roman"/>
          <w:sz w:val="18"/>
          <w:szCs w:val="18"/>
          <w:color w:val="auto"/>
        </w:rPr>
        <w:t>. An “option” is the right either to buy or sell a specified amount or value of a particular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at a fixed exercise price by exercising the option before its specified expiration date. An option which gives a right to buy is a “call” option, and an option which gives a right to sell is a “put” option. Standardized options (which are so labeled as a result of their standardized terms) offer the opportunity to invest using substantial leverage and therefore lend themselves to significant potential for abusive trading on material inside information. Standardized options also expire soon after issuance and thus necessarily involve short-term speculation, even where the date of expiration of the option makes the option exempt from certain Securities and Exchange Commission restrictions.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writing of a call or the acquisition of a put also involves a “bet against the company” and therefore presents a clear conflict of interest for you.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neither you, your family members nor controlled entities may trade in standardized options relating to the Company securities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142875</wp:posOffset>
            </wp:positionV>
            <wp:extent cx="5846445" cy="676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21" w:lineRule="exact"/>
        <w:rPr>
          <w:sz w:val="20"/>
          <w:szCs w:val="20"/>
          <w:color w:val="auto"/>
        </w:rPr>
      </w:pPr>
    </w:p>
    <w:p>
      <w:pPr>
        <w:jc w:val="both"/>
        <w:ind w:left="1300" w:hanging="644"/>
        <w:spacing w:after="0" w:line="259"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Hedging Transactions</w:t>
      </w:r>
      <w:r>
        <w:rPr>
          <w:rFonts w:ascii="Times New Roman" w:cs="Times New Roman" w:eastAsia="Times New Roman" w:hAnsi="Times New Roman"/>
          <w:sz w:val="18"/>
          <w:szCs w:val="18"/>
          <w:color w:val="auto"/>
        </w:rPr>
        <w:t>. Certain forms of hedging or monetization transactions, such as zero-cost collars and forward sale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 “insiders” to lock in much of the value of his or her stock holdings, often in exchange for all or part of the potential for upside appreciation in the stock. These transactions allow “insiders” to continue to own the covered securities, but without the full risks and rewards of ownership. When that occurs, the “insiders” may no longer have the same objectives as the Company’s other shareholders. Therefore, neither you, your family members nor your controlled entities may engage in any such transactions.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Margin Accounts and Pledges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held in a margin account may be sold by the broker without the customer’s consent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fails to meet a margin call. Similarly, securities pledged or hypothecated as collateral for a loan may be sold in foreclosure if the borrower defaults on the loan. Because a margin sale or foreclosure sale may occur at a time when you are aware of material, nonpublic information or otherwise are not permitted to trade in the Company securities, neither you, your family members nor your controlled entities may hold the Company securities in a margin account or pledge the Company securities as collateral for a loan unless such transaction has been pre-approved by the Company’s Chief Financial Officer.</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continues to apply to any and all transactions in the Company’s securities following termination of your employment or other services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Company. If you are in possession of material nonpublic information when you are terminated, you may not trade in the Company’s securities until that information has become public or is no longer material. The pre-clearance procedures specified above, however, will cease to apply to transactions in the Company’s securities upon the expiration of any blackout period applicable at the time of the termination of service.</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REPORTING OF VIOLATIONS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know or have reason to believe that this Policy or the Special Trading Procedures described above have been or may be violated, you should bring the actual or potential violation to the attention of the Company’s Chief Financial Officer or report it through the Company’s secure Corporate Compliance Hotline at (833) 636-3075 or at https://www.whistleblowerservices.com/ZyVersa .</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TRAININGS REGARDING INSIDER TRADING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directors and employees of the Company are required to annually attend trainings hosted or recommended by the Company regarding the laws governing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114300</wp:posOffset>
            </wp:positionV>
            <wp:extent cx="5846445" cy="676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5846445" cy="6769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MODIFICATIONS; WAIVERS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amend or modify the procedures set forth herein at any time. Waiver of any provision of this Policy or the Special Trading Procedures in a specific instance may be authorized in writing by the Company’s Chief Financial Officer (or his or her designee).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QUESTIONS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Policy or the Special Trading Procedures described above, you should contact the Company’s Chief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have read and understand ZyVersa Therapeutics, Inc.’s Statement of Company Policy on Insider Trading and Policy Regarding Special Trading Procedures. I understand that, if I am an employee of the Company or one of its subsidiaries, my failure to comply in all respects with the Company’s policies, including the Statement of Company Policy on Insider Trading and Policy Regarding Special Trading Procedures set forth herein, is a basis for termination for cause of my employment from the Company and any subsidiary thereof to which my employment now relates or may in the future relate. I will comply with the Policy for as long as I am subject to the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26403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62750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1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document states a policy of ZyVersa Therapeutics, Inc. and is not intended to be regarded as the rendering of legal advice. This policy statement is intended to promote compliance with existing law and is not intended to create or impose liability that would not exist in the absence of the policy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1073785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122555</wp:posOffset>
            </wp:positionV>
            <wp:extent cx="5846445" cy="677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5846445" cy="677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ZyVersa Therapeutics, Inc. on Form S-3 (File No. 333-281913, File No. 333-281914, File No. 333-283993) and S-8 (File No. 333-272106 File No. 333-277062, File No. 333-284475)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our report dated March 27, 2025, which includes an explanatory paragraph as to the Company’s ability to continue as a going concern, with respect to our audits of the consolidated financial statements of ZyVersa Therapeutics, Inc. as of December 31, 2024 and for the years ended December 31, 2024 and 2023 which report is included in this Annual Report on Form 10-K of ZyVersa Therapeutics, Inc.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ZyVersa Therapeutics,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C. Glover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ZyVersa Therapeutics,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Wolfe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PRINCIPAL EXECUTIVE OFFICER AND PRINCIPAL FINANCIAL OFFICER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ZyVersa Therapeutics, Inc. (the “Company”) for the fiscal year ended December 31, 2024 as filed with the Securities and Exchange Commission on the date hereof (the “Report”), the undersigned, Stephen C. Glover, President and Chief Executive Officer of the Company, and Peter Wolfe, Chief Financial Officer of the Company, certify, to the knowledge of the undersigned, pursuant to 18 U.S.C. Section 1350, as adopted pursuant to Section 906 of the Sarbanes-Oxley Act of 2002, that:</w:t>
      </w:r>
    </w:p>
    <w:p>
      <w:pPr>
        <w:spacing w:after="0" w:line="180" w:lineRule="exact"/>
        <w:rPr>
          <w:sz w:val="20"/>
          <w:szCs w:val="20"/>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C. Glover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Wolfe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as adopted pursuant to Section 906 of the Sarbanes-Oxley Act of 2002, and shall not be deemed “filed” by the Company for purposes of Section 18 of the Securities Exchange Act of 1934, as amended, and shall not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lowerRoman"/>
      <w:start w:val="4"/>
    </w:lvl>
  </w:abstractNum>
  <w:abstractNum w:abstractNumId="10">
    <w:nsid w:val="649BB77C"/>
    <w:multiLevelType w:val="hybridMultilevel"/>
    <w:lvl w:ilvl="0">
      <w:lvlJc w:val="left"/>
      <w:lvlText w:val="(%1)"/>
      <w:numFmt w:val="lowerRoman"/>
      <w:start w:val="3"/>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decimal"/>
      <w:start w:val="5"/>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9"/>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1)"/>
      <w:numFmt w:val="decimal"/>
      <w:start w:val="4"/>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upperLetter"/>
      <w:start w:val="9"/>
    </w:lvl>
  </w:abstractNum>
  <w:abstractNum w:abstractNumId="72">
    <w:nsid w:val="885E1B"/>
    <w:multiLevelType w:val="hybridMultilevel"/>
    <w:lvl w:ilvl="0">
      <w:lvlJc w:val="left"/>
      <w:lvlText w:val="*"/>
      <w:numFmt w:val="bullet"/>
      <w:start w:val="1"/>
    </w:lvl>
    <w:lvl w:ilvl="1">
      <w:lvlJc w:val="left"/>
      <w:lvlText w:val="%2."/>
      <w:numFmt w:val="decimal"/>
      <w:start w:val="1"/>
    </w:lvl>
  </w:abstractNum>
  <w:abstractNum w:abstractNumId="73">
    <w:nsid w:val="76272110"/>
    <w:multiLevelType w:val="hybridMultilevel"/>
    <w:lvl w:ilvl="0">
      <w:lvlJc w:val="left"/>
      <w:lvlText w:val="%1."/>
      <w:numFmt w:val="decimal"/>
      <w:start w:val="4"/>
    </w:lvl>
  </w:abstractNum>
  <w:abstractNum w:abstractNumId="74">
    <w:nsid w:val="4C04A8AF"/>
    <w:multiLevelType w:val="hybridMultilevel"/>
    <w:lvl w:ilvl="0">
      <w:lvlJc w:val="left"/>
      <w:lvlText w:val="%1."/>
      <w:numFmt w:val="upperLetter"/>
      <w:start w:val="35"/>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bullet"/>
      <w:start w:val="1"/>
    </w:lvl>
  </w:abstractNum>
  <w:abstractNum w:abstractNumId="77">
    <w:nsid w:val="3222E7CD"/>
    <w:multiLevelType w:val="hybridMultilevel"/>
    <w:lvl w:ilvl="0">
      <w:lvlJc w:val="left"/>
      <w:lvlText w:val="%1."/>
      <w:numFmt w:val="upperLetter"/>
      <w:start w:val="1"/>
    </w:lvl>
  </w:abstractNum>
  <w:abstractNum w:abstractNumId="78">
    <w:nsid w:val="74DE0EE3"/>
    <w:multiLevelType w:val="hybridMultilevel"/>
    <w:lvl w:ilvl="0">
      <w:lvlJc w:val="left"/>
      <w:lvlText w:val="%1."/>
      <w:numFmt w:val="upperLetter"/>
      <w:start w:val="2"/>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1."/>
      <w:numFmt w:val="upperLetter"/>
      <w:start w:val="3"/>
    </w:lvl>
  </w:abstractNum>
  <w:abstractNum w:abstractNumId="82">
    <w:nsid w:val="4A2AC315"/>
    <w:multiLevelType w:val="hybridMultilevel"/>
    <w:lvl w:ilvl="0">
      <w:lvlJc w:val="left"/>
      <w:lvlText w:val="%1."/>
      <w:numFmt w:val="upperLetter"/>
      <w:start w:val="4"/>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upperLetter"/>
      <w:start w:val="5"/>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1."/>
      <w:numFmt w:val="upperLetter"/>
      <w:start w:val="61"/>
    </w:lvl>
  </w:abstractNum>
  <w:abstractNum w:abstractNumId="88">
    <w:nsid w:val="26F324BA"/>
    <w:multiLevelType w:val="hybridMultilevel"/>
    <w:lvl w:ilvl="0">
      <w:lvlJc w:val="left"/>
      <w:lvlText w:val="%1."/>
      <w:numFmt w:val="upperLetter"/>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upperLetter"/>
      <w:start w:val="2"/>
    </w:lvl>
  </w:abstractNum>
  <w:abstractNum w:abstractNumId="91">
    <w:nsid w:val="7055A5F5"/>
    <w:multiLevelType w:val="hybridMultilevel"/>
    <w:lvl w:ilvl="0">
      <w:lvlJc w:val="left"/>
      <w:lvlText w:val="%1."/>
      <w:numFmt w:val="upperLetter"/>
      <w:start w:val="3"/>
    </w:lvl>
  </w:abstractNum>
  <w:abstractNum w:abstractNumId="92">
    <w:nsid w:val="5FB8370B"/>
    <w:multiLevelType w:val="hybridMultilevel"/>
    <w:lvl w:ilvl="0">
      <w:lvlJc w:val="left"/>
      <w:lvlText w:val="%1."/>
      <w:numFmt w:val="upperLetter"/>
      <w:start w:val="4"/>
    </w:lvl>
  </w:abstractNum>
  <w:abstractNum w:abstractNumId="93">
    <w:nsid w:val="50801EE1"/>
    <w:multiLevelType w:val="hybridMultilevel"/>
    <w:lvl w:ilvl="0">
      <w:lvlJc w:val="left"/>
      <w:lvlText w:val="%1."/>
      <w:numFmt w:val="upperLetter"/>
      <w:start w:val="5"/>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upperLetter"/>
      <w:start w:val="1"/>
    </w:lvl>
    <w:lvl w:ilvl="1">
      <w:lvlJc w:val="left"/>
      <w:lvlText w:val="%2."/>
      <w:numFmt w:val="decimal"/>
      <w:start w:val="3"/>
    </w:lvl>
  </w:abstractNum>
  <w:abstractNum w:abstractNumId="96">
    <w:nsid w:val="6AA78F7F"/>
    <w:multiLevelType w:val="hybridMultilevel"/>
    <w:lvl w:ilvl="0">
      <w:lvlJc w:val="left"/>
      <w:lvlText w:val="%1."/>
      <w:numFmt w:val="upperLetter"/>
      <w:start w:val="22"/>
    </w:lvl>
    <w:lvl w:ilvl="1">
      <w:lvlJc w:val="left"/>
      <w:lvlText w:val="%2"/>
      <w:numFmt w:val="decimal"/>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jpe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jpeg"/><Relationship Id="rId230" Type="http://schemas.openxmlformats.org/officeDocument/2006/relationships/image" Target="media/image174.png"/><Relationship Id="rId231" Type="http://schemas.openxmlformats.org/officeDocument/2006/relationships/image" Target="media/image175.jpeg"/><Relationship Id="rId232" Type="http://schemas.openxmlformats.org/officeDocument/2006/relationships/image" Target="media/image176.png"/><Relationship Id="rId233" Type="http://schemas.openxmlformats.org/officeDocument/2006/relationships/image" Target="media/image177.jpeg"/><Relationship Id="rId234" Type="http://schemas.openxmlformats.org/officeDocument/2006/relationships/image" Target="media/image178.png"/><Relationship Id="rId235" Type="http://schemas.openxmlformats.org/officeDocument/2006/relationships/image" Target="media/image179.jpe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jpeg"/><Relationship Id="rId239" Type="http://schemas.openxmlformats.org/officeDocument/2006/relationships/image" Target="media/image183.png"/><Relationship Id="rId240" Type="http://schemas.openxmlformats.org/officeDocument/2006/relationships/image" Target="media/image184.jpeg"/><Relationship Id="rId241" Type="http://schemas.openxmlformats.org/officeDocument/2006/relationships/image" Target="media/image185.png"/><Relationship Id="rId242" Type="http://schemas.openxmlformats.org/officeDocument/2006/relationships/image" Target="media/image186.jpeg"/><Relationship Id="rId243" Type="http://schemas.openxmlformats.org/officeDocument/2006/relationships/image" Target="media/image187.png"/><Relationship Id="rId244" Type="http://schemas.openxmlformats.org/officeDocument/2006/relationships/image" Target="media/image188.jpe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jpeg"/><Relationship Id="rId249" Type="http://schemas.openxmlformats.org/officeDocument/2006/relationships/image" Target="media/image193.png"/><Relationship Id="rId250" Type="http://schemas.openxmlformats.org/officeDocument/2006/relationships/image" Target="media/image194.png"/><Relationship Id="rId149" Type="http://schemas.openxmlformats.org/officeDocument/2006/relationships/hyperlink" Target="https://www.sec.gov/Archives/edgar/data/1859007/000121390022040769/ea163113ex2-1_larkspur.htm" TargetMode="External"/><Relationship Id="rId150" Type="http://schemas.openxmlformats.org/officeDocument/2006/relationships/hyperlink" Target="https://www.sec.gov/Archives/edgar/data/1859007/000149315222035258/ex3-1.htm" TargetMode="External"/><Relationship Id="rId151" Type="http://schemas.openxmlformats.org/officeDocument/2006/relationships/hyperlink" Target="https://www.sec.gov/Archives/edgar/data/1859007/000149315223043170/ex3-1.htm" TargetMode="External"/><Relationship Id="rId152" Type="http://schemas.openxmlformats.org/officeDocument/2006/relationships/hyperlink" Target="https://www.sec.gov/Archives/edgar/data/1859007/000149315224015938/ex3-1.htm" TargetMode="External"/><Relationship Id="rId153" Type="http://schemas.openxmlformats.org/officeDocument/2006/relationships/hyperlink" Target="https://www.sec.gov/Archives/edgar/data/1859007/000149315222035258/ex3-2.htm" TargetMode="External"/><Relationship Id="rId154" Type="http://schemas.openxmlformats.org/officeDocument/2006/relationships/hyperlink" Target="https://www.sec.gov/Archives/edgar/data/1859007/000149315222035258/ex3-3.htm" TargetMode="External"/><Relationship Id="rId155" Type="http://schemas.openxmlformats.org/officeDocument/2006/relationships/hyperlink" Target="https://www.sec.gov/Archives/edgar/data/1859007/000149315222035258/ex3-4.htm" TargetMode="External"/><Relationship Id="rId156" Type="http://schemas.openxmlformats.org/officeDocument/2006/relationships/hyperlink" Target="https://www.sec.gov/Archives/edgar/data/1859007/000149315222035258/ex4-1.htm" TargetMode="External"/><Relationship Id="rId157" Type="http://schemas.openxmlformats.org/officeDocument/2006/relationships/hyperlink" Target="https://www.sec.gov/Archives/edgar/data/1859007/000121390021067374/ea153005ex4-1_larkspur.htm" TargetMode="External"/><Relationship Id="rId158" Type="http://schemas.openxmlformats.org/officeDocument/2006/relationships/hyperlink" Target="https://www.sec.gov/Archives/edgar/data/1859007/000149315222035258/ex4-4.htm" TargetMode="External"/><Relationship Id="rId159" Type="http://schemas.openxmlformats.org/officeDocument/2006/relationships/hyperlink" Target="https://www.sec.gov/Archives/edgar/data/1859007/000149315222035258/ex4-5.htm" TargetMode="External"/><Relationship Id="rId160" Type="http://schemas.openxmlformats.org/officeDocument/2006/relationships/hyperlink" Target="https://www.sec.gov/Archives/edgar/data/1859007/000121390022059148/fs42022a1ex4-3_larkspur.htm" TargetMode="External"/><Relationship Id="rId161" Type="http://schemas.openxmlformats.org/officeDocument/2006/relationships/hyperlink" Target="https://www.sec.gov/Archives/edgar/data/1859007/000121390022059148/fs42022a1ex4-4_larkspur.htm" TargetMode="External"/><Relationship Id="rId162" Type="http://schemas.openxmlformats.org/officeDocument/2006/relationships/hyperlink" Target="https://www.sec.gov/Archives/edgar/data/1859007/000149315223012648/ex4-8.htm" TargetMode="External"/><Relationship Id="rId163" Type="http://schemas.openxmlformats.org/officeDocument/2006/relationships/hyperlink" Target="https://www.sec.gov/Archives/edgar/data/1859007/000149315223012648/ex4-9.htm" TargetMode="External"/><Relationship Id="rId164" Type="http://schemas.openxmlformats.org/officeDocument/2006/relationships/hyperlink" Target="https://www.sec.gov/Archives/edgar/data/1859007/000149315223023968/ex4-11.htm" TargetMode="External"/><Relationship Id="rId165" Type="http://schemas.openxmlformats.org/officeDocument/2006/relationships/hyperlink" Target="https://www.sec.gov/Archives/edgar/data/1859007/000149315223023968/ex4-10.htm" TargetMode="External"/><Relationship Id="rId166" Type="http://schemas.openxmlformats.org/officeDocument/2006/relationships/hyperlink" Target="https://www.sec.gov/Archives/edgar/data/1859007/000149315223025582/ex4-8_1.htm" TargetMode="External"/><Relationship Id="rId167" Type="http://schemas.openxmlformats.org/officeDocument/2006/relationships/hyperlink" Target="https://www.sec.gov/Archives/edgar/data/1859007/000149315223032553/ex4-1.htm" TargetMode="External"/><Relationship Id="rId168" Type="http://schemas.openxmlformats.org/officeDocument/2006/relationships/hyperlink" Target="https://www.sec.gov/Archives/edgar/data/1859007/000149315223044400/ex4-1.htm" TargetMode="External"/><Relationship Id="rId169" Type="http://schemas.openxmlformats.org/officeDocument/2006/relationships/hyperlink" Target="https://www.sec.gov/Archives/edgar/data/1859007/000149315223044400/ex4-2.htm" TargetMode="External"/><Relationship Id="rId170" Type="http://schemas.openxmlformats.org/officeDocument/2006/relationships/hyperlink" Target="https://www.sec.gov/Archives/edgar/data/1859007/000149315223044400/ex4-3.htm" TargetMode="External"/><Relationship Id="rId171" Type="http://schemas.openxmlformats.org/officeDocument/2006/relationships/hyperlink" Target="https://www.sec.gov/Archives/edgar/data/1859007/000149315224029868/ex4-1.htm" TargetMode="External"/><Relationship Id="rId172" Type="http://schemas.openxmlformats.org/officeDocument/2006/relationships/hyperlink" Target="https://www.sec.gov/Archives/edgar/data/1859007/000149315224029868/ex4-2.htm" TargetMode="External"/><Relationship Id="rId173" Type="http://schemas.openxmlformats.org/officeDocument/2006/relationships/hyperlink" Target="https://www.sec.gov/Archives/edgar/data/1859007/000149315224043754/ex4-1.htm" TargetMode="External"/><Relationship Id="rId174" Type="http://schemas.openxmlformats.org/officeDocument/2006/relationships/hyperlink" Target="https://www.sec.gov/Archives/edgar/data/1859007/000149315224011073/ex4-8.htm" TargetMode="External"/><Relationship Id="rId175" Type="http://schemas.openxmlformats.org/officeDocument/2006/relationships/hyperlink" Target="https://www.sec.gov/Archives/edgar/data/1859007/000121390022059148/fs42022a1ex10-14_larkspur.htm" TargetMode="External"/><Relationship Id="rId176" Type="http://schemas.openxmlformats.org/officeDocument/2006/relationships/hyperlink" Target="https://www.sec.gov/Archives/edgar/data/1859007/000121390022059148/fs42022a1ex10-15_larkspur.htm" TargetMode="External"/><Relationship Id="rId177" Type="http://schemas.openxmlformats.org/officeDocument/2006/relationships/hyperlink" Target="https://www.sec.gov/Archives/edgar/data/1859007/000121390022059148/fs42022a1ex10-16_larkspur.htm" TargetMode="External"/><Relationship Id="rId178" Type="http://schemas.openxmlformats.org/officeDocument/2006/relationships/hyperlink" Target="https://www.sec.gov/Archives/edgar/data/1859007/000149315222036510/ex10-1.htm" TargetMode="External"/><Relationship Id="rId179" Type="http://schemas.openxmlformats.org/officeDocument/2006/relationships/hyperlink" Target="https://www.sec.gov/Archives/edgar/data/1859007/000149315223006692/ex10-1.htm" TargetMode="External"/><Relationship Id="rId180" Type="http://schemas.openxmlformats.org/officeDocument/2006/relationships/hyperlink" Target="https://www.sec.gov/Archives/edgar/data/1859007/000149315222035258/ex10-10.htm" TargetMode="External"/><Relationship Id="rId181" Type="http://schemas.openxmlformats.org/officeDocument/2006/relationships/hyperlink" Target="https://www.sec.gov/Archives/edgar/data/1859007/000149315224043066/ex10-1.htm" TargetMode="External"/><Relationship Id="rId182" Type="http://schemas.openxmlformats.org/officeDocument/2006/relationships/hyperlink" Target="https://www.sec.gov/Archives/edgar/data/1859007/000121390022059148/fs42022a1ex10-6i_larkspur.htm" TargetMode="External"/><Relationship Id="rId183" Type="http://schemas.openxmlformats.org/officeDocument/2006/relationships/hyperlink" Target="https://www.sec.gov/Archives/edgar/data/1859007/000121390022059148/fs42022a1ex10-6ii_larkspur.htm" TargetMode="External"/><Relationship Id="rId184" Type="http://schemas.openxmlformats.org/officeDocument/2006/relationships/hyperlink" Target="https://www.sec.gov/Archives/edgar/data/1859007/000121390022059148/fs42022a1ex10-6iii_larkspur.htm" TargetMode="External"/><Relationship Id="rId185" Type="http://schemas.openxmlformats.org/officeDocument/2006/relationships/hyperlink" Target="https://www.sec.gov/Archives/edgar/data/1859007/000121390022059148/fs42022a1ex10-7_larkspur.htm" TargetMode="External"/><Relationship Id="rId186" Type="http://schemas.openxmlformats.org/officeDocument/2006/relationships/hyperlink" Target="https://www.sec.gov/Archives/edgar/data/1859007/000149315222035258/ex10-20.htm" TargetMode="External"/><Relationship Id="rId187" Type="http://schemas.openxmlformats.org/officeDocument/2006/relationships/hyperlink" Target="https://www.sec.gov/Archives/edgar/data/1859007/000149315222035258/ex10-15.htm" TargetMode="External"/><Relationship Id="rId188" Type="http://schemas.openxmlformats.org/officeDocument/2006/relationships/hyperlink" Target="https://www.sec.gov/Archives/edgar/data/1859007/000149315222035258/ex10-16.htm" TargetMode="External"/><Relationship Id="rId189" Type="http://schemas.openxmlformats.org/officeDocument/2006/relationships/hyperlink" Target="https://www.sec.gov/Archives/edgar/data/1859007/000149315222035258/ex10-18.htm" TargetMode="External"/><Relationship Id="rId190" Type="http://schemas.openxmlformats.org/officeDocument/2006/relationships/hyperlink" Target="https://www.sec.gov/Archives/edgar/data/1859007/000149315222035258/ex10-19.htm" TargetMode="External"/><Relationship Id="rId191" Type="http://schemas.openxmlformats.org/officeDocument/2006/relationships/hyperlink" Target="https://www.sec.gov/Archives/edgar/data/1859007/000149315223002767/ex10-21.htm" TargetMode="External"/><Relationship Id="rId192" Type="http://schemas.openxmlformats.org/officeDocument/2006/relationships/hyperlink" Target="https://www.sec.gov/Archives/edgar/data/1859007/000149315224029868/ex10-1.htm" TargetMode="External"/><Relationship Id="rId193" Type="http://schemas.openxmlformats.org/officeDocument/2006/relationships/hyperlink" Target="https://www.sec.gov/Archives/edgar/data/1859007/000149315224029868/ex10-2.htm" TargetMode="External"/><Relationship Id="rId194" Type="http://schemas.openxmlformats.org/officeDocument/2006/relationships/hyperlink" Target="https://www.sec.gov/Archives/edgar/data/1859007/000149315224043754/ex10-1.htm" TargetMode="External"/><Relationship Id="rId195" Type="http://schemas.openxmlformats.org/officeDocument/2006/relationships/hyperlink" Target="https://www.sec.gov/Archives/edgar/data/1859007/000149315224043754/ex10-2.htm" TargetMode="External"/><Relationship Id="rId196" Type="http://schemas.openxmlformats.org/officeDocument/2006/relationships/hyperlink" Target="https://www.sec.gov/Archives/edgar/data/1859007/000149315222035258/ex21-1.htm" TargetMode="External"/><Relationship Id="rId197" Type="http://schemas.openxmlformats.org/officeDocument/2006/relationships/hyperlink" Target="https://www.sec.gov/Archives/edgar/data/1859007/00014931522401951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2025-03-27T08:18:41Z</dcterms:created>
  <dcterms:modified xsi:type="dcterms:W3CDTF">2025-03-27T08:18:41Z</dcterms:modified>
</cp:coreProperties>
</file>