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191"/>
        </w:trPr>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tcBorders>
              <w:right w:val="single" w:sz="8" w:color="auto"/>
            </w:tcBorders>
          </w:tcPr>
          <w:p>
            <w:pPr>
              <w:jc w:val="center"/>
              <w:ind w:right="450"/>
              <w:spacing w:after="0" w:line="191" w:lineRule="exact"/>
              <w:rPr>
                <w:sz w:val="20"/>
                <w:szCs w:val="20"/>
                <w:color w:val="auto"/>
              </w:rPr>
            </w:pPr>
            <w:r>
              <w:rPr>
                <w:rFonts w:ascii="Times New Roman" w:cs="Times New Roman" w:eastAsia="Times New Roman" w:hAnsi="Times New Roman"/>
                <w:sz w:val="18"/>
                <w:szCs w:val="18"/>
                <w:color w:val="auto"/>
                <w:w w:val="99"/>
              </w:rPr>
              <w:t>SEC FILE NUMBER</w:t>
            </w:r>
          </w:p>
        </w:tc>
      </w:tr>
      <w:tr>
        <w:trPr>
          <w:trHeight w:val="234"/>
        </w:trPr>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001-37392</w:t>
            </w:r>
          </w:p>
        </w:tc>
      </w:tr>
      <w:tr>
        <w:trPr>
          <w:trHeight w:val="209"/>
        </w:trPr>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r>
      <w:tr>
        <w:trPr>
          <w:trHeight w:val="191"/>
        </w:trPr>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tcBorders>
              <w:right w:val="single" w:sz="8" w:color="auto"/>
            </w:tcBorders>
          </w:tcPr>
          <w:p>
            <w:pPr>
              <w:jc w:val="center"/>
              <w:ind w:right="450"/>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r>
      <w:tr>
        <w:trPr>
          <w:trHeight w:val="234"/>
        </w:trPr>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03763A207</w:t>
            </w:r>
          </w:p>
        </w:tc>
      </w:tr>
      <w:tr>
        <w:trPr>
          <w:trHeight w:val="37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9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10-K</w:t>
            </w:r>
          </w:p>
        </w:tc>
        <w:tc>
          <w:tcPr>
            <w:tcW w:w="5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20-F</w:t>
            </w:r>
          </w:p>
        </w:tc>
        <w:tc>
          <w:tcPr>
            <w:tcW w:w="17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w:t>
            </w:r>
          </w:p>
        </w:tc>
        <w:tc>
          <w:tcPr>
            <w:tcW w:w="1580" w:type="dxa"/>
            <w:vAlign w:val="bottom"/>
            <w:gridSpan w:val="2"/>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c>
          <w:tcPr>
            <w:tcW w:w="22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r>
      <w:tr>
        <w:trPr>
          <w:trHeight w:val="303"/>
        </w:trPr>
        <w:tc>
          <w:tcPr>
            <w:tcW w:w="1600" w:type="dxa"/>
            <w:vAlign w:val="bottom"/>
          </w:tcPr>
          <w:p>
            <w:pPr>
              <w:spacing w:after="0"/>
              <w:rPr>
                <w:sz w:val="24"/>
                <w:szCs w:val="24"/>
                <w:color w:val="auto"/>
              </w:rPr>
            </w:pPr>
          </w:p>
        </w:tc>
        <w:tc>
          <w:tcPr>
            <w:tcW w:w="9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N-CEN</w:t>
            </w:r>
          </w:p>
        </w:tc>
        <w:tc>
          <w:tcPr>
            <w:tcW w:w="5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N-CSR</w:t>
            </w: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65" w:lineRule="exact"/>
        <w:rPr>
          <w:sz w:val="24"/>
          <w:szCs w:val="24"/>
          <w:color w:val="auto"/>
        </w:rPr>
      </w:pPr>
    </w:p>
    <w:p>
      <w:pPr>
        <w:ind w:left="2060"/>
        <w:spacing w:after="0"/>
        <w:tabs>
          <w:tab w:leader="none" w:pos="3600" w:val="left"/>
        </w:tabs>
        <w:rPr>
          <w:sz w:val="20"/>
          <w:szCs w:val="20"/>
          <w:color w:val="auto"/>
        </w:rPr>
      </w:pPr>
      <w:r>
        <w:rPr>
          <w:rFonts w:ascii="Times New Roman" w:cs="Times New Roman" w:eastAsia="Times New Roman" w:hAnsi="Times New Roman"/>
          <w:sz w:val="18"/>
          <w:szCs w:val="18"/>
          <w:color w:val="auto"/>
        </w:rPr>
        <w:t>For Period Ended:</w:t>
      </w:r>
      <w:r>
        <w:rPr>
          <w:sz w:val="20"/>
          <w:szCs w:val="20"/>
          <w:color w:val="auto"/>
        </w:rPr>
        <w:tab/>
      </w:r>
      <w:r>
        <w:rPr>
          <w:rFonts w:ascii="Times New Roman" w:cs="Times New Roman" w:eastAsia="Times New Roman" w:hAnsi="Times New Roman"/>
          <w:sz w:val="17"/>
          <w:szCs w:val="17"/>
          <w:color w:val="auto"/>
        </w:rPr>
        <w:t>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134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46" w:lineRule="exact"/>
        <w:rPr>
          <w:sz w:val="24"/>
          <w:szCs w:val="24"/>
          <w:color w:val="auto"/>
        </w:rPr>
      </w:pPr>
    </w:p>
    <w:p>
      <w:pPr>
        <w:ind w:left="4520" w:hanging="199"/>
        <w:spacing w:after="0"/>
        <w:tabs>
          <w:tab w:leader="none" w:pos="4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4520" w:hanging="199"/>
        <w:spacing w:after="0"/>
        <w:tabs>
          <w:tab w:leader="none" w:pos="4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4520" w:hanging="199"/>
        <w:spacing w:after="0"/>
        <w:tabs>
          <w:tab w:leader="none" w:pos="4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4520" w:hanging="199"/>
        <w:spacing w:after="0"/>
        <w:tabs>
          <w:tab w:leader="none" w:pos="4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17145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2200 N. Commerce Parkway, Suite 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Weston, Florida 33326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The reason described in reasonable detail in Part III of this form could not be eliminated without unreasonable effort or expense;</w:t>
      </w:r>
    </w:p>
    <w:p>
      <w:pPr>
        <w:spacing w:after="0" w:line="225" w:lineRule="exact"/>
        <w:rPr>
          <w:rFonts w:ascii="MS PGothic" w:cs="MS PGothic" w:eastAsia="MS PGothic" w:hAnsi="MS PGothic"/>
          <w:sz w:val="18"/>
          <w:szCs w:val="18"/>
          <w:color w:val="auto"/>
        </w:rPr>
      </w:pPr>
    </w:p>
    <w:p>
      <w:pPr>
        <w:ind w:left="660" w:hanging="652"/>
        <w:spacing w:after="0" w:line="261" w:lineRule="auto"/>
        <w:tabs>
          <w:tab w:leader="none" w:pos="3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7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ZyVersa Therapeutics, Inc. (the “Company”) is unable to file its Quarterly Report on Form 10-Q for the quarter ended September 30, 2025 (the “Form 10-Q”) within the prescribed time period without unreasonable effort and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requires additional time to complete its management review of the Company’s quarter end consolidated financial statements and related disclosures.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currently expects to file the Form 10-Q within the five-day extension period provided under Rule 12b-25 of the Securities Exchange Act of 1934,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Form 12b-25 contains “forward-looking statements” as defined in the Private Securities Litigation Reform Act of 1995 that are subject to risks and uncertainties, including statements regarding the Company’s expectations regarding the timing of filing its Form 10-Q on or before the fifth day following its prescribed due date (the “extension deadline”), the consistency of the financial statements in the Form 10-Q with the financial information in the earnings release and the completion of matters necessary to permit filing by the extension deadline. Such forward-looking statements are based on assumptions about many important factors that could cause actual results to differ materially from those in the forward-looking statements, including whether the Company will identify additional errors in previously issued financial statements and other risks identified in the Company’s most recent filing on Form 10-K and other SEC filings, all of which are available on the Company’s website. The Company can provide no assurance that these forward-looking statements will be achieved, and actual results could differ materially from those suggested by such forward-looking statements. The Company does not undertake to update its forward-looking statements unless otherwise required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Peter Wolfe</w:t>
            </w:r>
          </w:p>
        </w:tc>
        <w:tc>
          <w:tcPr>
            <w:tcW w:w="348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20"/>
                <w:szCs w:val="20"/>
                <w:color w:val="auto"/>
              </w:rPr>
            </w:pPr>
          </w:p>
        </w:tc>
        <w:tc>
          <w:tcPr>
            <w:tcW w:w="348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231-1688</w:t>
            </w:r>
          </w:p>
        </w:tc>
      </w:tr>
      <w:tr>
        <w:trPr>
          <w:trHeight w:val="234"/>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2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340" w:hanging="332"/>
        <w:spacing w:after="0" w:line="232" w:lineRule="exact"/>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10500" w:hanging="201"/>
        <w:spacing w:after="0" w:line="196" w:lineRule="exact"/>
        <w:tabs>
          <w:tab w:leader="none" w:pos="10500" w:val="left"/>
        </w:tabs>
        <w:numPr>
          <w:ilvl w:val="1"/>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7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expects that the results of operations to be included in the Form 10-Q will reflect significant changes in the Company’s net loss from the corresponding period for the last fiscal year due to an $18.6 million non-cash impairment charge related to the Company’s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ZYVERSA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73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Peter Wolfe</w:t>
            </w:r>
          </w:p>
        </w:tc>
      </w:tr>
      <w:tr>
        <w:trPr>
          <w:trHeight w:val="191"/>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Peter Wolfe</w:t>
            </w:r>
          </w:p>
        </w:tc>
      </w:tr>
      <w:tr>
        <w:trPr>
          <w:trHeight w:val="234"/>
        </w:trPr>
        <w:tc>
          <w:tcPr>
            <w:tcW w:w="3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2025-11-14T16:10:32Z</dcterms:created>
  <dcterms:modified xsi:type="dcterms:W3CDTF">2025-11-14T16:10:32Z</dcterms:modified>
</cp:coreProperties>
</file>