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60" w:right="940" w:hanging="2619"/>
        <w:spacing w:after="0" w:line="500" w:lineRule="auto"/>
        <w:tabs>
          <w:tab w:leader="none" w:pos="11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ZYVERSA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8"/>
        </w:trPr>
        <w:tc>
          <w:tcPr>
            <w:tcW w:w="4520" w:type="dxa"/>
            <w:vAlign w:val="bottom"/>
            <w:gridSpan w:val="2"/>
          </w:tcPr>
          <w:p>
            <w:pPr>
              <w:jc w:val="center"/>
              <w:ind w:left="9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jc w:val="center"/>
              <w:ind w:right="11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8"/>
        </w:trPr>
        <w:tc>
          <w:tcPr>
            <w:tcW w:w="452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Weston, FL 33326</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28"/>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(754) 231-1688</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9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24"/>
                <w:szCs w:val="24"/>
                <w:color w:val="auto"/>
              </w:rPr>
            </w:pPr>
          </w:p>
        </w:tc>
        <w:tc>
          <w:tcPr>
            <w:tcW w:w="22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ZVSA</w:t>
            </w:r>
          </w:p>
        </w:tc>
        <w:tc>
          <w:tcPr>
            <w:tcW w:w="220" w:type="dxa"/>
            <w:vAlign w:val="bottom"/>
          </w:tcPr>
          <w:p>
            <w:pPr>
              <w:spacing w:after="0"/>
              <w:rPr>
                <w:sz w:val="24"/>
                <w:szCs w:val="2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The Nasdaq Capital Market </w:t>
            </w:r>
            <w:r>
              <w:rPr>
                <w:rFonts w:ascii="Times New Roman" w:cs="Times New Roman" w:eastAsia="Times New Roman" w:hAnsi="Times New Roman"/>
                <w:sz w:val="29"/>
                <w:szCs w:val="29"/>
                <w:color w:val="auto"/>
                <w:w w:val="97"/>
                <w:vertAlign w:val="superscript"/>
              </w:rPr>
              <w:t>(1)</w:t>
            </w:r>
          </w:p>
        </w:tc>
      </w:tr>
    </w:tbl>
    <w:p>
      <w:pPr>
        <w:spacing w:after="0" w:line="6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7, 2025, the number of shares outstanding of the registrant’s common stock, $0.0001 par value per share, was 8,095,921.</w:t>
      </w:r>
    </w:p>
    <w:p>
      <w:pPr>
        <w:spacing w:after="0" w:line="225" w:lineRule="exact"/>
        <w:rPr>
          <w:sz w:val="24"/>
          <w:szCs w:val="24"/>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17, 2025, our common stock has been suspended from trading on The Nasdaq Capital Market. Our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92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(unaudited) and December 31, 2024</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Six Months Ended June 30, 2025 and 2024</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Six Months Ended June 30, 2025 and</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7"/>
        </w:trPr>
        <w:tc>
          <w:tcPr>
            <w:tcW w:w="1160" w:type="dxa"/>
            <w:vAlign w:val="bottom"/>
            <w:gridSpan w:val="4"/>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and Six Months Ended June 30, 2025 and 2024</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360" w:type="dxa"/>
            <w:vAlign w:val="bottom"/>
            <w:tcBorders>
              <w:top w:val="single" w:sz="8" w:color="CCEEFF"/>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3"/>
          </w:tcPr>
          <w:p>
            <w:pPr>
              <w:jc w:val="center"/>
              <w:ind w:left="38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40" w:type="dxa"/>
            <w:vAlign w:val="bottom"/>
            <w:gridSpan w:val="3"/>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72,086</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1,530,924</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378,749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184,873</w:t>
            </w: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Vendor deposits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98,234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549,069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18,647,903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18,647,903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Vendor deposit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69,477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178,476</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374,662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57,238</w:t>
            </w: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19,641,111</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20,599,414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9,774,230</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9,337,267</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2,915,448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1,894,041</w:t>
            </w:r>
          </w:p>
        </w:tc>
      </w:tr>
      <w:tr>
        <w:trPr>
          <w:trHeight w:val="21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12,689,678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11,231,308</w:t>
            </w:r>
          </w:p>
        </w:tc>
        <w:tc>
          <w:tcPr>
            <w:tcW w:w="100" w:type="dxa"/>
            <w:vAlign w:val="bottom"/>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851,659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851,659</w:t>
            </w:r>
          </w:p>
        </w:tc>
      </w:tr>
      <w:tr>
        <w:trPr>
          <w:trHeight w:val="209"/>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13,541,337</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12,082,967</w:t>
            </w:r>
          </w:p>
        </w:tc>
        <w:tc>
          <w:tcPr>
            <w:tcW w:w="100" w:type="dxa"/>
            <w:vAlign w:val="bottom"/>
            <w:tcBorders>
              <w:bottom w:val="single" w:sz="8" w:color="CCEEFF"/>
            </w:tcBorders>
          </w:tcPr>
          <w:p>
            <w:pPr>
              <w:spacing w:after="0"/>
              <w:rPr>
                <w:sz w:val="18"/>
                <w:szCs w:val="18"/>
                <w:color w:val="auto"/>
              </w:rPr>
            </w:pP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 as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June 30, 2025 and December 31, 2024</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4,873,463 and</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2,508,198 shares issued as of June 30, 2025 and December 31, 2024, respectively, and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4,873,456 and 2,508,191 shares outstanding as of June 30, 2025 and December 31, 2024,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123,207,260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121,155,922</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(117,100,806)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(112,632,559)</w:t>
            </w: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June 30, 2025 and December 31, 2024,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09"/>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6,099,774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8,516,447</w:t>
            </w:r>
          </w:p>
        </w:tc>
        <w:tc>
          <w:tcPr>
            <w:tcW w:w="100" w:type="dxa"/>
            <w:vAlign w:val="bottom"/>
            <w:tcBorders>
              <w:bottom w:val="single" w:sz="8" w:color="CCEEFF"/>
            </w:tcBorders>
          </w:tcPr>
          <w:p>
            <w:pPr>
              <w:spacing w:after="0"/>
              <w:rPr>
                <w:sz w:val="18"/>
                <w:szCs w:val="18"/>
                <w:color w:val="auto"/>
              </w:rPr>
            </w:pP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19,641,111</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20,599,414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00" w:type="dxa"/>
            <w:vAlign w:val="bottom"/>
            <w:tcBorders>
              <w:bottom w:val="single" w:sz="8" w:color="auto"/>
            </w:tcBorders>
          </w:tcPr>
          <w:p>
            <w:pPr>
              <w:jc w:val="center"/>
              <w:ind w:left="4350"/>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82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409,937</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709,049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668,813</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1,221,987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1,634,195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2,044,929</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3,519,889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4,358,627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2,044,132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2,753,978</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5,580,614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(2,044,132)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(2,753,978)</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(4,188,702)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(5,580,614)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130,036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249,596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payable</w:t>
            </w:r>
          </w:p>
        </w:tc>
        <w:tc>
          <w:tcPr>
            <w:tcW w:w="24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37,149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29,949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Pre-Tax Net Loss</w:t>
            </w:r>
          </w:p>
        </w:tc>
        <w:tc>
          <w:tcPr>
            <w:tcW w:w="24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(2,211,317)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(2,754,036)</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(4,468,247)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(5,580,773)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(9,707)</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(2,211,317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(2,763,743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(4,468,247</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(5,590,480</w:t>
            </w:r>
          </w:p>
        </w:tc>
        <w:tc>
          <w:tcPr>
            <w:tcW w:w="1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(0.46)</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4740" w:type="dxa"/>
            <w:vAlign w:val="bottom"/>
            <w:tcBorders>
              <w:bottom w:val="single" w:sz="8" w:color="CCEEFF"/>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7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24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4,814,115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834,915</w:t>
            </w:r>
          </w:p>
        </w:tc>
        <w:tc>
          <w:tcPr>
            <w:tcW w:w="280" w:type="dxa"/>
            <w:vAlign w:val="bottom"/>
          </w:tcPr>
          <w:p>
            <w:pPr>
              <w:spacing w:after="0"/>
              <w:rPr>
                <w:sz w:val="21"/>
                <w:szCs w:val="21"/>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3,965,236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729,306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-530860</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-530860</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-256540</wp:posOffset>
            </wp:positionV>
            <wp:extent cx="2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-256540</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2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6"/>
          </w:tcPr>
          <w:p>
            <w:pPr>
              <w:jc w:val="right"/>
              <w:ind w:right="76"/>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6"/>
                <w:szCs w:val="16"/>
                <w:color w:val="auto"/>
              </w:rPr>
            </w:pPr>
          </w:p>
        </w:tc>
      </w:tr>
      <w:tr>
        <w:trPr>
          <w:trHeight w:val="252"/>
        </w:trPr>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38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center"/>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2,508,198</w:t>
            </w: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(7,168)</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$ 121,155,922</w:t>
            </w:r>
          </w:p>
        </w:tc>
        <w:tc>
          <w:tcPr>
            <w:tcW w:w="1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(112,632,559)</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8,516,447</w:t>
            </w:r>
          </w:p>
        </w:tc>
      </w:tr>
      <w:tr>
        <w:trPr>
          <w:trHeight w:val="216"/>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 vendor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81,594</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81,600</w:t>
            </w:r>
          </w:p>
        </w:tc>
      </w:tr>
      <w:tr>
        <w:trPr>
          <w:trHeight w:val="201"/>
        </w:trPr>
        <w:tc>
          <w:tcPr>
            <w:tcW w:w="17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Private placement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17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of warrants </w:t>
            </w:r>
            <w:r>
              <w:rPr>
                <w:rFonts w:ascii="Times New Roman" w:cs="Times New Roman" w:eastAsia="Times New Roman" w:hAnsi="Times New Roman"/>
                <w:sz w:val="29"/>
                <w:szCs w:val="29"/>
                <w:color w:val="auto"/>
                <w:vertAlign w:val="superscript"/>
              </w:rPr>
              <w:t>[1]</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1,663,052</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1,663,052</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53,890</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53,890</w:t>
            </w:r>
          </w:p>
        </w:tc>
      </w:tr>
      <w:tr>
        <w:trPr>
          <w:trHeight w:val="198"/>
        </w:trPr>
        <w:tc>
          <w:tcPr>
            <w:tcW w:w="1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72,291</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72,291</w:t>
            </w:r>
          </w:p>
        </w:tc>
      </w:tr>
      <w:tr>
        <w:trPr>
          <w:trHeight w:val="22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(2,256,930)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(2,256,930)</w:t>
            </w:r>
          </w:p>
        </w:tc>
      </w:tr>
      <w:tr>
        <w:trPr>
          <w:trHeight w:val="174"/>
        </w:trPr>
        <w:tc>
          <w:tcPr>
            <w:tcW w:w="17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2,568,198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123,026,749</w:t>
            </w: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(114,889,489)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8,130,350</w:t>
            </w:r>
          </w:p>
        </w:tc>
      </w:tr>
      <w:tr>
        <w:trPr>
          <w:trHeight w:val="216"/>
        </w:trPr>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1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vendor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128,780</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128,800</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funded warrants</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2,105,265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1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Private placement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(7,468)</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(7,468)</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59,199</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59,199</w:t>
            </w:r>
          </w:p>
        </w:tc>
      </w:tr>
      <w:tr>
        <w:trPr>
          <w:trHeight w:val="230"/>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(2,211,317)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(2,211,317)</w:t>
            </w:r>
          </w:p>
        </w:tc>
      </w:tr>
      <w:tr>
        <w:trPr>
          <w:trHeight w:val="174"/>
        </w:trPr>
        <w:tc>
          <w:tcPr>
            <w:tcW w:w="17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June 30,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center"/>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3"/>
                <w:szCs w:val="23"/>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4,873,463</w:t>
            </w: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14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 $ (7,168)</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123,207,260</w:t>
            </w:r>
          </w:p>
        </w:tc>
        <w:tc>
          <w:tcPr>
            <w:tcW w:w="1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(117,100,806)</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6,099,774</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2024</w:t>
            </w: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6"/>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6"/>
                <w:szCs w:val="16"/>
                <w:color w:val="auto"/>
              </w:rPr>
            </w:pPr>
          </w:p>
        </w:tc>
      </w:tr>
      <w:tr>
        <w:trPr>
          <w:trHeight w:val="252"/>
        </w:trPr>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9"/>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tcPr>
          <w:p>
            <w:pPr>
              <w:spacing w:after="0"/>
              <w:rPr>
                <w:sz w:val="21"/>
                <w:szCs w:val="21"/>
                <w:color w:val="auto"/>
              </w:rPr>
            </w:pPr>
          </w:p>
        </w:tc>
        <w:tc>
          <w:tcPr>
            <w:tcW w:w="13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5,062</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405,212</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(7,168)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$ 114,300,849</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(103,219,124)</w:t>
            </w: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11,074,598</w:t>
            </w:r>
          </w:p>
        </w:tc>
      </w:tr>
      <w:tr>
        <w:trPr>
          <w:trHeight w:val="216"/>
        </w:trPr>
        <w:tc>
          <w:tcPr>
            <w:tcW w:w="17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2,672,479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2,672,500</w:t>
            </w:r>
          </w:p>
        </w:tc>
      </w:tr>
      <w:tr>
        <w:trPr>
          <w:trHeight w:val="198"/>
        </w:trPr>
        <w:tc>
          <w:tcPr>
            <w:tcW w:w="1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 warrants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131,481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pursuant 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agreements</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79,199</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79,200</w:t>
            </w:r>
          </w:p>
        </w:tc>
      </w:tr>
      <w:tr>
        <w:trPr>
          <w:trHeight w:val="198"/>
        </w:trPr>
        <w:tc>
          <w:tcPr>
            <w:tcW w:w="1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Round up share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due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split</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75,410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223,573</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223,573</w:t>
            </w:r>
          </w:p>
        </w:tc>
      </w:tr>
      <w:tr>
        <w:trPr>
          <w:trHeight w:val="229"/>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(2,826,737)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(2,826,737)</w:t>
            </w:r>
          </w:p>
        </w:tc>
      </w:tr>
      <w:tr>
        <w:trPr>
          <w:trHeight w:val="174"/>
        </w:trPr>
        <w:tc>
          <w:tcPr>
            <w:tcW w:w="17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834,903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117,276,079</w:t>
            </w:r>
          </w:p>
        </w:tc>
        <w:tc>
          <w:tcPr>
            <w:tcW w:w="8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(106,045,861)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11,223,134</w:t>
            </w:r>
          </w:p>
        </w:tc>
      </w:tr>
      <w:tr>
        <w:trPr>
          <w:trHeight w:val="216"/>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160,664</w:t>
            </w: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160,664</w:t>
            </w:r>
          </w:p>
        </w:tc>
      </w:tr>
      <w:tr>
        <w:trPr>
          <w:trHeight w:val="229"/>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(2,763,743)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(2,763,743)</w:t>
            </w:r>
          </w:p>
        </w:tc>
      </w:tr>
      <w:tr>
        <w:trPr>
          <w:trHeight w:val="228"/>
        </w:trPr>
        <w:tc>
          <w:tcPr>
            <w:tcW w:w="1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(7,168</w:t>
            </w:r>
          </w:p>
        </w:tc>
        <w:tc>
          <w:tcPr>
            <w:tcW w:w="1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$ 117,436,743</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(108,809,604</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8,620,055</w:t>
            </w:r>
          </w:p>
        </w:tc>
        <w:tc>
          <w:tcPr>
            <w:tcW w:w="80" w:type="dxa"/>
            <w:vAlign w:val="bottom"/>
            <w:tcBorders>
              <w:top w:val="single" w:sz="8" w:color="CCEEFF"/>
            </w:tcBorders>
            <w:shd w:val="clear" w:color="auto" w:fill="CCEEFF"/>
          </w:tcPr>
          <w:p>
            <w:pPr>
              <w:spacing w:after="0"/>
              <w:rPr>
                <w:sz w:val="19"/>
                <w:szCs w:val="19"/>
                <w:color w:val="auto"/>
              </w:rPr>
            </w:pPr>
          </w:p>
        </w:tc>
      </w:tr>
      <w:tr>
        <w:trPr>
          <w:trHeight w:val="85"/>
        </w:trPr>
        <w:tc>
          <w:tcPr>
            <w:tcW w:w="1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gross proceeds of $1,999,791 less cash issuance costs of $282,849 and a non-cash warrant modification charge of $53,890</w:t>
      </w:r>
    </w:p>
    <w:p>
      <w:pPr>
        <w:spacing w:after="0" w:line="3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6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(4,468,247)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(5,590,480)</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131,490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384,237</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210,400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79,200</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provision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(193,876)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(306,447)</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(115,077)</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Vendor deposits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(8,656)</w:t>
            </w: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961,545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(76,211)</w:t>
            </w:r>
          </w:p>
        </w:tc>
      </w:tr>
      <w:tr>
        <w:trPr>
          <w:trHeight w:val="209"/>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(3,293,780)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(5,690,688)</w:t>
            </w:r>
          </w:p>
        </w:tc>
      </w:tr>
      <w:tr>
        <w:trPr>
          <w:trHeight w:val="209"/>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2,672,500</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of warrants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1,999,791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warrant issuance</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(147,131)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1,834,942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2,672,500</w:t>
            </w: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(1,458,838)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(3,018,188)</w:t>
            </w:r>
          </w:p>
        </w:tc>
      </w:tr>
      <w:tr>
        <w:trPr>
          <w:trHeight w:val="216"/>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1,530,924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3,137,674</w:t>
            </w: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72,086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119,486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53,890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620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Accounts payable and accrued expenses for offering costs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459,696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June 30, 2025 and for the three and six months ended June 30, 2025 and 2024. The results of operations for the six months ended June 30, 2025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2024, filed with the Securities and Exchange Commission (“SEC”) on March 27,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were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2024 Reverse Split and adjustment of the conversion price or exercise price of each outstanding equity award, convertible security and warrant as if the transaction had occurred as of the beginning of the earliest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cash of approximately $72.1 thousand and a working capital deficit of approximately $12.1 million. During the six months ended June 30, 2025, the Company incurred a net loss of approximately $4.5 million and used cash in operations of approximately $3.3 million. The Company has an accumulated deficit of approximately $117.1 million as of June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the Company will be required to raise additional funds through equity or debt financing.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2024 financial statements were issued in its 2024 Annual Report on Form 10-K,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37"/>
        </w:trPr>
        <w:tc>
          <w:tcPr>
            <w:tcW w:w="62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7"/>
                <w:szCs w:val="27"/>
                <w:color w:val="auto"/>
                <w:vertAlign w:val="superscript"/>
              </w:rPr>
              <w:t>[1]</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3,849,308</w:t>
            </w:r>
          </w:p>
        </w:tc>
        <w:tc>
          <w:tcPr>
            <w:tcW w:w="5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689,293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9,460</w:t>
            </w:r>
          </w:p>
        </w:tc>
        <w:tc>
          <w:tcPr>
            <w:tcW w:w="5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9,671</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2,067</w:t>
            </w:r>
          </w:p>
        </w:tc>
        <w:tc>
          <w:tcPr>
            <w:tcW w:w="5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InflamaCORE, LLC license agreement, warrants to purchase 342 shares of common stock are to be issued upon the satisfaction of certain milestones and, accordingly, are not included in the amount currently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condensed consolidated statements of operations. The measure of segment assets is reported on the balance sheet as total assets. The Company has not yet generated any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Concentration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accounts payable to one vendor accounted for 56% and 56%, respectively, related to research and development. The Company relies on this vendor to perform critical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fiscal years beginning after December 15, 2024, with early adoption permitted. The Company is currently evaluating the impact of this standard but does not expect it to have a material impact on its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744"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1,101,584</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1,039,338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3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917,375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536,500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accrual</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518,390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268,972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issuable equity</w:t>
            </w:r>
          </w:p>
        </w:tc>
        <w:tc>
          <w:tcPr>
            <w:tcW w:w="3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41,970</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delay liability</w:t>
            </w:r>
          </w:p>
        </w:tc>
        <w:tc>
          <w:tcPr>
            <w:tcW w:w="3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7,261</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2,915,448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provisions for the three and six months ended June 30, 2025 and 2024 were computed using the estimated effective tax rates applicable to the taxable jurisdictions for the full year. The Company’s tax rate is subject to management’s quarterly review and revision, as necessary. The Company’s effective tax rate was 0.00% and 0.00% for the three and six months ended June 30, 2025 and 2024, because the Company has significant net deferred tax assets, including those associated with net operating losses, that are subject to a full valuation allowance.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Law Change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President signed into law significant federal tax legislation, H.R.1 (the “Tax Reform Act of 2025”). The legislation includes numerous changes to U.S. corporate income tax law, including but not limited to: permanent 100% bonus depreciation for qualified property, immediate expensing of domestic research and experimental expenditures, modifications to the limitation on business interest expense, increased Section 179 expensing limits, changes to the international tax regime, and expanded limitations on the deductibility of executive compensation under IRC Section 162(m). Most provisions are effective for tax years beginning after December 31, 2024, with certain transition rules and exceptions.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currently evaluating the impact of the Tax Reform Act of 2025 on its condensed consolidated financial statements. FASB ASC 740, “Income Taxes,” requires the effects of changes in tax rates and laws on tax balances to be recognized in the period in which the legislation is enacted. As the date of enactment of the Tax Reform Act of 2025 is after June 30, 2025, there is no financial impact as of and for the six-moth period ended June 30, 2025. The effects of the new law, including remeasurement of deferred tax assets and liabilities and changes to current and future tax expense, will be reflected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Disputed Vendor Invoices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$992,176 and $162,800, respectively. The June 30, 2024 invoice represents retroactive interest on invoices going back to September 30, 2022. The July 1, 2024 invoice included miscellaneous unsupported charges performed over the past several years. On August 1, 2024, ZyVersa management sent the vendor a letter disputing the interest and unsupported charges and has requested the vendor to rescind each of them. Although the Company has requested the vendor to rescind the retroactive interest on invoices, the Company believes that, in accordance with the agreement, the vendor can legally charge the Company interest from the point they were notified of the vendor’s intent to charge interest. As such, the Company included the calculated interest from July 1, 2024 to June 30, 2025 of $518,390 within accrued expenses and other current liabilities on the condensed consolidated balance sheet at June 30, 2025. The vendor also updated certain interest calculations such that, at June 30, 2025, the vendors claim that has not been accrued by the Company is $1,123,973.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for a total base rent lease commitment of approximately $497,000. On January 15, 2024, the Company extended the lease for an additional year for a total base rent lease commitment of $112,064. On January 9, 2025, the Company extended the lease for an additional year for a total base rent lease commitment of approximately $120,819. The Company used the short-term lease practical expedient which permits the Company to not capitalize leases with a term equal to or less than 12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798" w:gutter="0" w:footer="0" w:header="0"/>
        </w:sectPr>
      </w:pPr>
    </w:p>
    <w:bookmarkStart w:id="10" w:name="page11"/>
    <w:bookmarkEnd w:id="10"/>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three months ended June 30, 2025 and 2024 of $45,168 and $43,271,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six months ended June 30, 2025 and 2024 of $89,364 and $84,743,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2025, the Company entered into a marketing agreement with a vendor in which the Company issued 60,000 shares of common stock and cash in exchange for marketing services. The fair value of the common stock was established as a prepaid expense, and the Company recognized $81,600 of the expense over the two-month term of the contract. The shares were issued on February 2,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the Company entered into a marketing agreement with a vendor in which the Company issued 100,000 shares of common stock and cash in exchange for digital marketing services. The fair value of the common stock was established as a prepaid expense and the Company recognized $70,100 of the expense over the three-month term of the contract. On April 11, 2025, the Company issued the 100,000 shares of common stock to the vendor using the market value of $77,000 on that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2025, the Company entered into a marketing agreement with a vendor in which the Company issued 100,000 shares of common stock and cash in exchange for marketing services. The fair value of the common stock was established as a prepaid expense and the Company recognized $61,900 of the expense over the two-month term of the contract. On May 13, 2025, the Company issued the 100,000 shares of common stock to the vendor using the market value of $51,800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2025, the Company entered into an Equity Purchase Agreement (the “Purchase Agreement”) with Williamsburg Venture Holdings, LLC (the “Purchaser”), whereby the Company has the right, but not the obligation, to sell to the Purchaser, and the Purchaser is obligated to purchase, up to an aggregate of $10.0 million of shares (the “ELOC Shares”) of the Company’s common stock. The term of the Purchase Agreement is through June 24, 2027, or the date on which the Purchaser has purchased ELOC Shares for an aggregate purchase price of $10.0 million. The Company has also agreed to issue to the Purchaser 426,829 shares common stock (“Commitment Shares”), which will be issued on a pro rata basis as the Company draws down ELOC shares, with any remaining shares to be issued upon termination. The fair value of the Commitment Shares on the date of the Purchase Agreement was established as accrued issuable equity and as deferred offering costs and the Company will reclassify $265,957 of the deferred offering costs to additional paid-in-capital on a pro rata basis as the Company draws down ELOC shares. In addition, the Company will mark-to-market the change in fair value of the accrued issuable equity on each reporting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stock-based compensation expense of $59,199 (of which, $15,448 was included in research and development and $43,751 was included in general and administrative expense) related to options issued to employees and consultants. For the three months ended June 30, 2024 the Company recorded stock-based compensation expense of $160,664 (of which, $15,447 was included in research and development and $145,217 was included in general and administrative expense) related to options issued to employees and consultants.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stock-based compensation expense of $131,490 (of which, $30,895 was included in research and development and $100,595 was included in general and administrative expense) related to options issued to employees and consultants. For the six months ended June 30, 2024 the Company recorded stock-based compensation expense of $384,237 (of which, $30,895 was included in research and development and $353,342 was included in general and administrative expense) related to options issued to employees and consultants. As of June 30, 2025 there was $190,403 of unrecognized stock-based compensation expense, which the Company expects to recognize over a weighted average period of 0.8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six months ended June 30,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7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9,612</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2,248.58</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1,760.50</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June 30,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8,112</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2,598.23</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64" w:orient="portrait"/>
          <w:cols w:equalWidth="0" w:num="1">
            <w:col w:w="11240"/>
          </w:cols>
          <w:pgMar w:left="320" w:top="684" w:right="3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60" w:type="dxa"/>
            <w:vAlign w:val="bottom"/>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1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29"/>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0"/>
        </w:trPr>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738.50</w:t>
            </w:r>
          </w:p>
        </w:tc>
        <w:tc>
          <w:tcPr>
            <w:tcW w:w="16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8"/>
                <w:szCs w:val="18"/>
                <w:color w:val="auto"/>
              </w:rPr>
            </w:pPr>
          </w:p>
        </w:tc>
      </w:tr>
      <w:tr>
        <w:trPr>
          <w:trHeight w:val="216"/>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791.00</w:t>
            </w:r>
          </w:p>
        </w:tc>
        <w:tc>
          <w:tcPr>
            <w:tcW w:w="1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1,760.50</w:t>
            </w:r>
          </w:p>
        </w:tc>
        <w:tc>
          <w:tcPr>
            <w:tcW w:w="16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1,127</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w:t>
            </w:r>
          </w:p>
        </w:tc>
        <w:tc>
          <w:tcPr>
            <w:tcW w:w="60" w:type="dxa"/>
            <w:vAlign w:val="bottom"/>
          </w:tcPr>
          <w:p>
            <w:pPr>
              <w:spacing w:after="0"/>
              <w:rPr>
                <w:sz w:val="18"/>
                <w:szCs w:val="18"/>
                <w:color w:val="auto"/>
              </w:rPr>
            </w:pPr>
          </w:p>
        </w:tc>
      </w:tr>
      <w:tr>
        <w:trPr>
          <w:trHeight w:val="216"/>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3,965.50</w:t>
            </w:r>
          </w:p>
        </w:tc>
        <w:tc>
          <w:tcPr>
            <w:tcW w:w="1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4,053.00</w:t>
            </w:r>
          </w:p>
        </w:tc>
        <w:tc>
          <w:tcPr>
            <w:tcW w:w="16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2,095</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8"/>
                <w:szCs w:val="18"/>
                <w:color w:val="auto"/>
              </w:rPr>
            </w:pPr>
          </w:p>
        </w:tc>
      </w:tr>
      <w:tr>
        <w:trPr>
          <w:trHeight w:val="229"/>
        </w:trPr>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5,726.00</w:t>
            </w:r>
          </w:p>
        </w:tc>
        <w:tc>
          <w:tcPr>
            <w:tcW w:w="16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1,720</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shd w:val="clear" w:color="auto" w:fill="CCEEFF"/>
          </w:tcPr>
          <w:p>
            <w:pPr>
              <w:spacing w:after="0"/>
              <w:rPr>
                <w:sz w:val="19"/>
                <w:szCs w:val="19"/>
                <w:color w:val="auto"/>
              </w:rPr>
            </w:pPr>
          </w:p>
        </w:tc>
      </w:tr>
      <w:tr>
        <w:trPr>
          <w:trHeight w:val="223"/>
        </w:trPr>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60" w:type="dxa"/>
            <w:vAlign w:val="bottom"/>
          </w:tcPr>
          <w:p>
            <w:pPr>
              <w:spacing w:after="0"/>
              <w:rPr>
                <w:sz w:val="19"/>
                <w:szCs w:val="19"/>
                <w:color w:val="auto"/>
              </w:rPr>
            </w:pP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2025, the Company closed on a private placement (the “Private Placement”) with an institutional investor, pursuant to which the Company sold pre-funded warrants (the “March 2025 Pre-Funded Warrants”) to purchase 2,105,265 shares of common stock and Series A-3 common warrants (the “March 2025 Common Warrants”) to purchase 2,105,265 shares of common stock at a combined purchase price of $0.9499 which resulted in gross proceeds of approximately $2.0 million. In addition, the Company and the investor executed an amendment to certain November 5, 2024 common share purchase warrants to reduce the exercise price of certain outstanding warrants to purchase 957,200 shares of common stock from $2.06 per share to $1.00 per share. The $53,890 incremental fair value of the modified warrants as compared to the original warrants was recognized as an additional issuance cost of the Private Placement. The March 2025 Pre-Funded Warrants were exercisable immediately at an exercise price of $0.0001 per share. As of June 30, 2025, all March 2025 Pre-Funded Warrants have been exercised in full. The March 2025 Common Warrants became exercisable upon stockholder approval on June 11, 2025 for a term of five years and have an exercise price of $1.00 per share. Total cash issuance costs were $282,849 including $199,863 of placement fees, $56,844 of legal fees, and $26,142 of other costs.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modification date fair value of warrants modified during the three and six months ended June 30, 2025 and 2024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1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40" w:type="dxa"/>
            <w:vAlign w:val="bottom"/>
          </w:tcPr>
          <w:p>
            <w:pPr>
              <w:spacing w:after="0"/>
              <w:rPr>
                <w:sz w:val="19"/>
                <w:szCs w:val="19"/>
                <w:color w:val="auto"/>
              </w:rPr>
            </w:pPr>
          </w:p>
        </w:tc>
        <w:tc>
          <w:tcPr>
            <w:tcW w:w="27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20"/>
                <w:szCs w:val="20"/>
                <w:color w:val="auto"/>
              </w:rPr>
            </w:pPr>
          </w:p>
        </w:tc>
        <w:tc>
          <w:tcPr>
            <w:tcW w:w="1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9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6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modification</w:t>
            </w:r>
          </w:p>
        </w:tc>
        <w:tc>
          <w:tcPr>
            <w:tcW w:w="9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 years</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5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six months ended June 30, 2025, is presented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7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1,747,093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Issued </w:t>
            </w:r>
            <w:r>
              <w:rPr>
                <w:rFonts w:ascii="Times New Roman" w:cs="Times New Roman" w:eastAsia="Times New Roman" w:hAnsi="Times New Roman"/>
                <w:sz w:val="29"/>
                <w:szCs w:val="29"/>
                <w:color w:val="auto"/>
                <w:vertAlign w:val="superscript"/>
              </w:rPr>
              <w:t>[1]</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2,105,265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w:t>
            </w: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957,200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June 30,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3,849,108</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outstanding, and exercisable exclude 2,105,265 March 2025 Pre-Funded Warrants with an exercise price of $0.0001.</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November 2024 warrants to purchase 957,200 shares of common stock from $2.06 to $1.00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June 30,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300" w:type="dxa"/>
            <w:vAlign w:val="bottom"/>
            <w:gridSpan w:val="4"/>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4260" w:type="dxa"/>
            <w:vAlign w:val="bottom"/>
            <w:gridSpan w:val="4"/>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r>
      <w:tr>
        <w:trPr>
          <w:trHeight w:val="187"/>
        </w:trPr>
        <w:tc>
          <w:tcPr>
            <w:tcW w:w="4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16"/>
                <w:szCs w:val="16"/>
                <w:color w:val="auto"/>
              </w:rPr>
            </w:pPr>
          </w:p>
        </w:tc>
        <w:tc>
          <w:tcPr>
            <w:tcW w:w="230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Exercisable</w:t>
            </w:r>
          </w:p>
        </w:tc>
        <w:tc>
          <w:tcPr>
            <w:tcW w:w="80" w:type="dxa"/>
            <w:vAlign w:val="bottom"/>
          </w:tcPr>
          <w:p>
            <w:pPr>
              <w:spacing w:after="0"/>
              <w:rPr>
                <w:sz w:val="16"/>
                <w:szCs w:val="16"/>
                <w:color w:val="auto"/>
              </w:rPr>
            </w:pPr>
          </w:p>
        </w:tc>
      </w:tr>
      <w:tr>
        <w:trPr>
          <w:trHeight w:val="230"/>
        </w:trPr>
        <w:tc>
          <w:tcPr>
            <w:tcW w:w="420" w:type="dxa"/>
            <w:vAlign w:val="bottom"/>
          </w:tcPr>
          <w:p>
            <w:pPr>
              <w:spacing w:after="0"/>
              <w:rPr>
                <w:sz w:val="19"/>
                <w:szCs w:val="19"/>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420" w:type="dxa"/>
            <w:vAlign w:val="bottom"/>
          </w:tcPr>
          <w:p>
            <w:pPr>
              <w:spacing w:after="0"/>
              <w:rPr>
                <w:sz w:val="20"/>
                <w:szCs w:val="20"/>
                <w:color w:val="auto"/>
              </w:rPr>
            </w:pPr>
          </w:p>
        </w:tc>
        <w:tc>
          <w:tcPr>
            <w:tcW w:w="19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0"/>
        </w:trPr>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3,062,465</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3,062,465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679,800</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679,800</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4,050</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4,050</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20,347</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20,347</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57.75</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19,965</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19,965</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350.00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27,551</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27,551</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700.00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13,944</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13,944</w:t>
            </w:r>
          </w:p>
        </w:tc>
      </w:tr>
      <w:tr>
        <w:trPr>
          <w:trHeight w:val="21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1,760.50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2,415.00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3,651</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3,651</w:t>
            </w:r>
          </w:p>
        </w:tc>
      </w:tr>
      <w:tr>
        <w:trPr>
          <w:trHeight w:val="229"/>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4,025.00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17,335</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17,335</w:t>
            </w:r>
          </w:p>
        </w:tc>
      </w:tr>
      <w:tr>
        <w:trPr>
          <w:trHeight w:val="223"/>
        </w:trPr>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4.88</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2025, the Company entered into a warrant exercise inducement offer letter agreement (the “Inducement Letter”) with a holder (the “Holder”) of</w:t>
      </w:r>
    </w:p>
    <w:p>
      <w:pPr>
        <w:spacing w:after="0" w:line="27" w:lineRule="exact"/>
        <w:rPr>
          <w:sz w:val="20"/>
          <w:szCs w:val="20"/>
          <w:color w:val="auto"/>
        </w:rPr>
      </w:pPr>
    </w:p>
    <w:p>
      <w:pPr>
        <w:jc w:val="both"/>
        <w:ind w:firstLine="8"/>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Series A-2 common stock purchase warrants, as amended (the “Series A-2 Warrants”), exercisable for up to an aggregate of 957,200 shares of the Company’s common stock, and (ii) Series A-3 common stock purchase warrants (the “Series A-3 Warrants” and together with the Series A-2 Warrants, the “Existing Warrants”) exercisable for up to an aggregate of 2,105,265 shares of common stock, which warrants were originally issued by the Company on November 5, 2024 and March 5, 2024, respectively. The Existing Warrants had an exercise price of $1.00 per share.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 agreed to exercise the Existing Warrants for gross proceeds $2.05 million at a reduced exercise price of $0.67 per share in consideration of the Company’s agreement to issue the Holder new warrants to purchase up to a number of shares of common stock equal to 200% of the number of shares of common stock issued pursuant to the Holder’s exercise of Existing Warrants, comprised of new Series A-4 warrants to purchase up to 6,124,930 shares of common stock (the “Inducement Warrants”). The Inducement Warrants are exercisable upon stockholder approval at an exercise price of $0.67 per share and will expire on the fifth anniversary of the date on which stockholder approval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Stock Market LLC (“Nasdaq”) Delisting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15, 2025, the Company received a determination letter (the “Letter”) from Nasdaq indicating that the Nasdaq Hearings Panel (the “Panel”) has determined to deny the Company’s request to continue our listing on The Nasdaq Capital Market. Trading of the Company’s common stock was suspended at the open of trading on July 17, 2025. Our common stock began trading on the OTCQB® Venture Market on July 28, 2025, under the symbol “ZVSA.”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June 30, 2025 and for the three and six months ended June 30, 2025 and 2024 should be read together with our unaudited condensed consolidated financial statements and the notes to those financial statements that are included elsewhere in this Quarterly Report on Form 10-Q. Additionally this discussion and analysis should be read together with the Company’s audited financial statements and related disclosures as of December 31, 2024 and for the year then ended, which are included in the Form 10-K (the “Annual Report”) filed with the Securities and Exchange Commission (“SEC”) on March 27, 2025.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65" w:lineRule="exact"/>
        <w:rPr>
          <w:sz w:val="20"/>
          <w:szCs w:val="20"/>
          <w:color w:val="auto"/>
        </w:rPr>
      </w:pPr>
    </w:p>
    <w:p>
      <w:pPr>
        <w:jc w:val="both"/>
        <w:ind w:firstLine="583"/>
        <w:spacing w:after="0" w:line="231" w:lineRule="auto"/>
        <w:rPr>
          <w:sz w:val="20"/>
          <w:szCs w:val="20"/>
          <w:color w:val="auto"/>
        </w:rPr>
      </w:pPr>
      <w:r>
        <w:rPr>
          <w:rFonts w:ascii="Times New Roman" w:cs="Times New Roman" w:eastAsia="Times New Roman" w:hAnsi="Times New Roman"/>
          <w:sz w:val="18"/>
          <w:szCs w:val="18"/>
          <w:color w:val="auto"/>
        </w:rPr>
        <w:t>Our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The lead indication is focal segmental glomerulosclerosis (FSGS). Our anti-inflammatory drug candidate, which we refer to as Inflammasome ASC Inhibitor IC 100, is a humanized monoclonal IgG4 antibody targeting ASC in development to treat multiple inflammatory diseases. The lead indication is obesity with cardiometabolic comorbidities.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$4.5 million for the period from January 1, 2025 through June 30, 2025, compared to $5.6 million for the period from January 1, 2024 through June 30, 2024. As of June 30, 2025, we had an accumulated deficit of approximately $117.1 million and cash of $0.1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On July 15, 2025, we received a determination letter (the “Letter”) from The Nasdaq Stock Market LLC (“Nasdaq”) indicating that the Nasdaq Hearings Panel (the “Panel”) has determined to deny our request to continue our listing on The Nasdaq Capital Market. Trading of our common stock was suspended at the open of trading on July 17, 2025. As a result of the suspension in trading and expected delisting, there may be a very limited market in which our shares are traded, our stockholders may find it difficult to sell their shares of our common stock, and the trading price of our securities, if any, may be adversely affected. We applied for trading on the OTCQB® Venture Market (“OTCQB”) maintained by the OTC Markets Group Inc. to mitigate the risk of delisting from Nasdaq. Our application was approved on July 25, 2025, and our common stock began trading on OTCQB on July 28, 2025, under the symbol “ZVSA.”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866"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preclinical and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both"/>
        <w:ind w:right="140" w:firstLine="583"/>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resulting from many factors, including:</w:t>
      </w:r>
    </w:p>
    <w:p>
      <w:pPr>
        <w:spacing w:after="0" w:line="180"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resources, information technology, office, and travel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As we continue to explore commercial opportunities and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day, future changes in trade regulations, tariff structures, or logistical constraints could influence the cost, availability, or timing of materials, services and other components associated with the development of our product candidates and manufacturing capabilities. We continue to monitor these developments closely to maintain operational efficiency and help mitigate potential future impacts.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the three months ended June 30, 2024</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for the three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17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20" w:type="dxa"/>
            <w:vAlign w:val="bottom"/>
            <w:gridSpan w:val="2"/>
          </w:tcPr>
          <w:p>
            <w:pPr>
              <w:spacing w:after="0"/>
              <w:rPr>
                <w:sz w:val="19"/>
                <w:szCs w:val="19"/>
                <w:color w:val="auto"/>
              </w:rPr>
            </w:pPr>
          </w:p>
        </w:tc>
      </w:tr>
      <w:tr>
        <w:trPr>
          <w:trHeight w:val="209"/>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r>
      <w:tr>
        <w:trPr>
          <w:trHeight w:val="209"/>
        </w:trPr>
        <w:tc>
          <w:tcPr>
            <w:tcW w:w="4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(2,754)</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4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2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(2,754)</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$0.4 million for the three months ended June 30, 2025, a decrease of $0.3 million or 42.2% from the three months ended June 30, 2024. The decrease is attributable to lower CRO fees of $0.1 million for VAR 200 and lower research and development consultant costs of $0.1 million due to fewer consultants, lower pre-clinical costs of IC 100 of $0.1 million, partially offset by an increase in VAR 200 manufacturing stability testing.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$1.6 million for the three months ended June 30, 2025, a decrease of $0.4 million or 20.1% from the three months ended June 30, 2024. The decrease is primarily attributable to a decrease of $0.1 million due to lower director and officer insurance premiums, a $0.1 million decrease in investor relations marketing expense, a $0.1 million decrease in professional fees due to lower accounting and legal expense, and a decrease of $0.1 million in stock-based compensation expense due to options becoming fully amortized in 2025, offset by a $0.1 million increase in public company costs due to additional costs for our annual shareholder meeting and Nasdaq hearings.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was $0.2 million for the three months ended June 30, 2025, an increase of $0.2 million from the three months ended June 30, 2024. The increase in expense is primarily attributable to interest charged by a vendor for outstanding amounts owed.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the six months ended June 30, 2024</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for the six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6"/>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00" w:type="dxa"/>
            <w:vAlign w:val="bottom"/>
          </w:tcPr>
          <w:p>
            <w:pPr>
              <w:spacing w:after="0"/>
              <w:rPr>
                <w:sz w:val="19"/>
                <w:szCs w:val="19"/>
                <w:color w:val="auto"/>
              </w:rPr>
            </w:pPr>
          </w:p>
        </w:tc>
        <w:tc>
          <w:tcPr>
            <w:tcW w:w="17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20" w:type="dxa"/>
            <w:vAlign w:val="bottom"/>
            <w:gridSpan w:val="2"/>
          </w:tcPr>
          <w:p>
            <w:pPr>
              <w:spacing w:after="0"/>
              <w:rPr>
                <w:sz w:val="19"/>
                <w:szCs w:val="19"/>
                <w:color w:val="auto"/>
              </w:rPr>
            </w:pPr>
          </w:p>
        </w:tc>
      </w:tr>
      <w:tr>
        <w:trPr>
          <w:trHeight w:val="209"/>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4,358</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09"/>
        </w:trPr>
        <w:tc>
          <w:tcPr>
            <w:tcW w:w="4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(5,580)</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4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3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(5,580)</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$0.7 million for the six months ended June 30, 2025, a decrease of $0.6 million or 45.3% from the six months ended June 30, 2024. The decrease is attributable to lower CRO fees of $0.2 million for VAR 200 and lower research and development consultant costs of $0.2 million due to fewer consultants, lower pre-clinical costs of IC 100 of $0.1 million, partially offset by an increase in VAR 200 manufacturing stability testing.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$3.5 million for the six months ended June 30, 2025, a decrease of $0.8 million or 19.2% from the six months ended June 30, 2024. The decrease is primarily attributable to a decrease of $0.3 million due to lower director and officer insurance premiums, a $0.2 million decrease in investor and public relations marketing expense, a $0.1 million decrease in professional fees due to lower accounting and legal expense, and a decrease of $0.3 million in stock-based compensation expense due to options becoming fully amortized in 2025, offset by a $0.1 million increase in legal patent fees for IC100 and public company costs due to additional costs for our annual shareholder meeting and Nasdaq hearings.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was $0.3 million for the six months ended June 30, 2025, an increase of $0.3 million from the six months ended June 30, 2024. The increase in expense is primarily attributable to interest charged by a vendor for outstanding amounts owed.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six months ended June 30, 2025 and for the six months ended June 30,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220" w:type="dxa"/>
            <w:vAlign w:val="bottom"/>
          </w:tcPr>
          <w:p>
            <w:pPr>
              <w:spacing w:after="0"/>
              <w:rPr>
                <w:sz w:val="21"/>
                <w:szCs w:val="21"/>
                <w:color w:val="auto"/>
              </w:rPr>
            </w:pPr>
          </w:p>
        </w:tc>
        <w:tc>
          <w:tcPr>
            <w:tcW w:w="344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220" w:type="dxa"/>
            <w:vAlign w:val="bottom"/>
          </w:tcPr>
          <w:p>
            <w:pPr>
              <w:spacing w:after="0"/>
              <w:rPr>
                <w:sz w:val="21"/>
                <w:szCs w:val="21"/>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60" w:type="dxa"/>
            <w:vAlign w:val="bottom"/>
          </w:tcPr>
          <w:p>
            <w:pPr>
              <w:spacing w:after="0"/>
              <w:rPr>
                <w:sz w:val="19"/>
                <w:szCs w:val="19"/>
                <w:color w:val="auto"/>
              </w:rPr>
            </w:pPr>
          </w:p>
        </w:tc>
      </w:tr>
      <w:tr>
        <w:trPr>
          <w:trHeight w:val="40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(3,294)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(5,691)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60" w:type="dxa"/>
            <w:vAlign w:val="bottom"/>
          </w:tcPr>
          <w:p>
            <w:pPr>
              <w:spacing w:after="0"/>
              <w:rPr>
                <w:sz w:val="24"/>
                <w:szCs w:val="24"/>
                <w:color w:val="auto"/>
              </w:rPr>
            </w:pPr>
          </w:p>
        </w:tc>
      </w:tr>
      <w:tr>
        <w:trPr>
          <w:trHeight w:val="248"/>
        </w:trPr>
        <w:tc>
          <w:tcPr>
            <w:tcW w:w="220" w:type="dxa"/>
            <w:vAlign w:val="bottom"/>
          </w:tcPr>
          <w:p>
            <w:pPr>
              <w:spacing w:after="0"/>
              <w:rPr>
                <w:sz w:val="21"/>
                <w:szCs w:val="21"/>
                <w:color w:val="auto"/>
              </w:rPr>
            </w:pPr>
          </w:p>
        </w:tc>
        <w:tc>
          <w:tcPr>
            <w:tcW w:w="1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1,835</w:t>
            </w:r>
          </w:p>
        </w:tc>
        <w:tc>
          <w:tcPr>
            <w:tcW w:w="340" w:type="dxa"/>
            <w:vAlign w:val="bottom"/>
          </w:tcPr>
          <w:p>
            <w:pPr>
              <w:spacing w:after="0"/>
              <w:rPr>
                <w:sz w:val="21"/>
                <w:szCs w:val="21"/>
                <w:color w:val="auto"/>
              </w:rPr>
            </w:pPr>
          </w:p>
        </w:tc>
        <w:tc>
          <w:tcPr>
            <w:tcW w:w="14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2,673</w:t>
            </w: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-599440</wp:posOffset>
            </wp:positionV>
            <wp:extent cx="641223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-882015</wp:posOffset>
            </wp:positionV>
            <wp:extent cx="641223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40" w:space="720"/>
            <w:col w:w="6380"/>
          </w:cols>
          <w:pgMar w:left="320" w:top="68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$3.3 million and approximately $5.7 million for the six months ended June 30, 2025 and 2024, respectively. For the six months ended June 30, 2025 and for the six months ended June 30, 2024, the net cash used in operating activities was primarily attributable to the net loss of approximately $4.5 million and $5.6 million, respectively, offset by $0.3 million and $0.5 million, respectively, of net non-cash expenses, and approximately $0.8 million and ($0.6) million, respectively, of cash generated by (used in) the levels of operating assets and liabilities,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$1.8 million and $2.7 million for the six months ended June 30, 2025 and 2024, respectively. Cash provided by financing activities during the six months ended June 30, 2025 represented $2.0 million of proceeds from the private placement of warrants. This was partially offset by ($0.2) million in registration and issuance costs associated with warrant issuance. Cash provided by financing activities during the six months ended June 30, 2024 represented proceeds from the exercise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June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auto"/>
            </w:tcBorders>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12,690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June 30, 2025, we have not generated any revenue and have incurred significant operating losses and negative cash flows from our operations. Based on our current operating plan, we expect our cash of $0.1 million as of June 30, 2025 will only be sufficient to fund our operating expenses and capital expenditure requirements on a month-to-month basis.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583"/>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$4.5 million for the six months ended June 30, 2025 and had an accumulated deficit of $117.1 million on June 30, 2025.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and to complete development of and to commercially develop our product candidates. There is no assurance that such financing will be available when needed or on acceptable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 xml:space="preserve">Cash requirements for our current liabilities as of June 30, 2025 include approximately $12.7 million for accounts payable and accrued expenses. Based on our current operating plan, we plan to satisfy the obligations identified below from our current cash balance and future financing. See Note 4,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and Note 6,</w:t>
      </w:r>
      <w:r>
        <w:rPr>
          <w:rFonts w:ascii="Times New Roman" w:cs="Times New Roman" w:eastAsia="Times New Roman" w:hAnsi="Times New Roman"/>
          <w:sz w:val="18"/>
          <w:szCs w:val="18"/>
          <w:i w:val="1"/>
          <w:iCs w:val="1"/>
          <w:color w:val="auto"/>
        </w:rPr>
        <w:t xml:space="preserve"> Commitments and Contingencies—Operating Leases </w:t>
      </w:r>
      <w:r>
        <w:rPr>
          <w:rFonts w:ascii="Times New Roman" w:cs="Times New Roman" w:eastAsia="Times New Roman" w:hAnsi="Times New Roman"/>
          <w:sz w:val="18"/>
          <w:szCs w:val="18"/>
          <w:color w:val="auto"/>
        </w:rPr>
        <w:t>of the accompanying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condensed consolidated financial statements included elsewhere in this report for more information regarding our contractual obligations relating to our current liabilities and lease agreements,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227" w:lineRule="exact"/>
        <w:rPr>
          <w:sz w:val="20"/>
          <w:szCs w:val="20"/>
          <w:color w:val="auto"/>
        </w:rPr>
      </w:pPr>
    </w:p>
    <w:p>
      <w:pPr>
        <w:ind w:right="120" w:firstLine="583"/>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make investments in our continued development of VAR 200 and IC 100 on a month-to-month basis as cash is available. We intend to raise additional capital in the future to fund continued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exceeding our immediate requirements in investments designed to preserve the principal balance and provide liquidity while producing a modest return on investment. Accordingly, our excess cash equivalents will be invested primarily in money market funds.</w:t>
      </w:r>
    </w:p>
    <w:p>
      <w:pPr>
        <w:spacing w:after="0" w:line="162"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to support our planned product development efforts, among other initiatives. We also expect to incur significant costs to comply with corporate governance, internal controls, and similar requirements applicable to public companies.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each product candidate;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90"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74"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Our critical accounting estimates are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and Goodwill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for the impairment of long-lived assets and goodwill whenever events or changes in circumstances indicate that the carrying amount of an asset may not be recoverable.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Company to make assumptions about future cash flows over the life of the asset being evaluated. These assumptions require significant judgment and actual results may differ from assumed and estimated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2025. Based upon their evaluation, our Chief Executive Officer and Chief Financial Officer concluded that our disclosure controls and procedures (as defined in Rules 13a-15(e) and 15d-15(e) under the Exchange Act)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errors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errors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122"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become subject to the SEC’s penny stock rules, which may cause broker-dealers to experience difficulty in completing transactions in our common stock, limiting a stockholder’s ability to buy and sell our common stock.</w:t>
      </w:r>
    </w:p>
    <w:p>
      <w:pPr>
        <w:spacing w:after="0" w:line="159"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The SEC has adopted Rule 15g-9, which generally defines “penny stock” to be any equity security, not listed on a national exchange, that has a market price less than $5.00 per share or an exercise price of less than $5.00 per share, subject to certain exceptions, such as if the issuer of the security has net tangible assets in excess of $2.0 million. The market price of our common stock is less than $5.00, and, effective July 17, 2025, Nasdaq suspended trading in our common stock and started the process to delist our common stock from The Nasdaq Capital Market due to the Company’s ongoing failure to comply with the minimum bid price requirement under Nasdaq Listing Rule 5550(a)(2). Our common stock is presently exempt from being considered a “penny stock,” regardless of whether Nasdaq ultimately delists our common stock from its exchange, because our net tangible assets exceed $2.0 million. As of December 31, 2024, we had approximately $[8.5] million in net tangible assets. However, we cannot guarantee that we will be able to continue to qualify for this exemption, or any other available exemption from the definition of “penny stock.”</w:t>
      </w:r>
    </w:p>
    <w:p>
      <w:pPr>
        <w:spacing w:after="0" w:line="19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If our securities become subject to the penny stock rules, broker-dealers who sell to persons other than established customers and “accredited investors” will be subject to additional sales practice requirements. The term “accredited investor” generally refers to institutions with assets in excess of $5,000,000 or individuals with a net worth in excess of $1,000,000 or annual income exceeding $200,000 or $300,000 jointly with their spouse. The penny stock rules require a broker-dealer, prior to a transaction in penny stock not otherwise exempt from the rules, to deliver a standardized risk disclosure document in a form prepared by the SEC, which provides information about penny stocks and the nature and level of risks in the penny stock market. The broker-dealer also must provide the customer with current bid and offer quotations for the penny stock, the compensation of the broker-dealer and its salesperson in the transaction and monthly account statements showing the market value of each penny stock held in the customer’s account. The bid and offer quotations, and the broker-dealer and salesperson compensation information, must be given to the customer orally or in writing prior to effecting the transaction and must be given to the customer in writing before or with the customer’s confirmation. In addition, the penny stock rules require that prior to a transaction in penny stock not otherwise exempt from these rules, the broker-dealer must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securities subject to these penny stock rules and affect the ability of broker-dealers to trade our securities. As a result of the foregoing requirements, the marketability of our common stock may be further limited.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deemed “penny stock,” broker-dealers trading in our securities may be subject to additional sales practice requirements adopted by the Financial Industry Regulatory Authority (“FINRA”), which may also limit a stockholder’s ability to buy and sell our common stock.</w:t>
      </w:r>
    </w:p>
    <w:p>
      <w:pPr>
        <w:spacing w:after="0" w:line="159"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In addition to the penny stock rules described above, FINRA has adopted rules that require broker-dealers to have reasonable grounds for believing that an investment is suitable for a customer before recommending that investment to the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 priced securities will not be suitable for at least some customers. If our common stock is deemed “penny stock,” FINRA requirements make it more difficult for broker-dealers to recommend that their customers buy our securities, which may limit your ability to buy and sell our common stock and have an adverse effect on the market for our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and there can be no assurance that it will trade on a national exchange again.</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Effective July 17, 2025, Nasdaq suspended trading in our common stock and started the process to delist our common stock from The Nasdaq Capital Market due to the Company’s ongoing failure to comply with the minimum bid price requirement under Nasdaq Listing Rule 5550(a)(2). Our common stock is currently quoted on the OTCQB under the ticker symbol “ZVSA.”</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in our operations may impact our effective tax rate and may adversely affect our business, financial condition and operating results.</w:t>
      </w:r>
    </w:p>
    <w:p>
      <w:pPr>
        <w:spacing w:after="0" w:line="159"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 For example, the Tax Reform Act of 2025 was signed into law on July 4, 2025. The Tax Reform Act of 2025 contains numerous tax provisions that we are currently in the process of evaluating, and which may significantly affect our business or financial condition. The recent changes under the Tax Reform Act of 2025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Tax Reform Act of 2025 and additional tax-related legislation is and continues to be forthcoming, and the overall impact of these changes is uncertain and may adversely affect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ectPr>
          <w:pgSz w:w="11900" w:h="16838" w:orient="portrait"/>
          <w:cols w:equalWidth="0" w:num="1">
            <w:col w:w="11240"/>
          </w:cols>
          <w:pgMar w:left="320" w:top="684" w:right="339" w:bottom="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Second Amended and Restated Certificate of Incorporation of ZyVersa Therapeutics, Inc. (incorporated by reference to Exhibit 3.1 to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160" w:type="dxa"/>
            <w:vAlign w:val="bottom"/>
            <w:gridSpan w:val="14"/>
            <w:vMerge w:val="restart"/>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Company’s Current Report on Form 10-Q filed with the SEC on August 9, 2024).</w:t>
              </w:r>
            </w:hyperlink>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16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Second Amended and Restated Bylaws of ZyVersa Therapeutics, Inc. (incorporated by reference to Exhibit 3.2 to the Company’s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Report on Form 8-K filed with the SEC on December 13,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Designation relating to the Series A Convertible Preferred Stock (incorporated by reference to Exhibit 3.3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Current Report on Form 8-K filed with the SEC on December 13, 2022).</w:t>
              </w:r>
            </w:hyperlink>
          </w:p>
        </w:tc>
        <w:tc>
          <w:tcPr>
            <w:tcW w:w="4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Series A-4 Warrant (incorporated by reference to Exhibit 4.1 to the Company’s Current Report on Form 8-K filed with the SEC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July 9, 2025).</w:t>
              </w:r>
            </w:hyperlink>
          </w:p>
        </w:tc>
        <w:tc>
          <w:tcPr>
            <w:tcW w:w="91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Equity Purchase Agreement, dated June 24, 2025, by and between ZyVersa Therapeutics, Inc. and Williamsburg Venture Holdings,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LLC (incorporated by reference to Exhibit 10.1 to the Company Current Report on Form 8-K filed with the SEC on June 25,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Registration Rights Agreement, dated June 24, 2025, by and between ZyVersa Therapeutics, Inc. and Williamsburg Venture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Holdings, LLC (incorporated by reference to Exhibit 10.2 to the Company Current Report on Form 8-K filed with the SEC on June 25,</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0">
              <w:r>
                <w:rPr>
                  <w:rFonts w:ascii="Times New Roman" w:cs="Times New Roman" w:eastAsia="Times New Roman" w:hAnsi="Times New Roman"/>
                  <w:sz w:val="18"/>
                  <w:szCs w:val="18"/>
                  <w:color w:val="0000EE"/>
                  <w:w w:val="94"/>
                </w:rPr>
                <w:t>2025).</w:t>
              </w:r>
            </w:hyperlink>
          </w:p>
        </w:tc>
        <w:tc>
          <w:tcPr>
            <w:tcW w:w="5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Inducement Letter, dated July 8, 2025 (incorporated by reference to Exhibit 10.1 to the Company’s Current Report on Form 8-K filed with</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the SEC on July 9, 2025).</w:t>
              </w:r>
            </w:hyperlink>
          </w:p>
        </w:tc>
        <w:tc>
          <w:tcPr>
            <w:tcW w:w="826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Financial Advisory Agreement, dated July 8, 2025 (incorporated by reference to Exhibit 10.2 to the Company’s Current Report on Form 8-K</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filed with the SEC on July 9, 2025).</w:t>
              </w:r>
            </w:hyperlink>
          </w:p>
        </w:tc>
        <w:tc>
          <w:tcPr>
            <w:tcW w:w="7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Rule 15d-14(a).</w:t>
            </w:r>
          </w:p>
        </w:tc>
        <w:tc>
          <w:tcPr>
            <w:tcW w:w="3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8"/>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c>
          <w:tcPr>
            <w:tcW w:w="2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5" w:name="page26"/>
    <w:bookmarkEnd w:id="2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June 30, 2025,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13,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3" Type="http://schemas.openxmlformats.org/officeDocument/2006/relationships/image" Target="media/image28.png"/><Relationship Id="rId35" Type="http://schemas.openxmlformats.org/officeDocument/2006/relationships/hyperlink" Target="https://www.sec.gov/Archives/edgar/data/1859007/000149315224031002/ex3-1.htm" TargetMode="External"/><Relationship Id="rId36" Type="http://schemas.openxmlformats.org/officeDocument/2006/relationships/hyperlink" Target="https://www.sec.gov/Archives/edgar/data/1859007/000149315222035258/ex3-2.htm" TargetMode="External"/><Relationship Id="rId37" Type="http://schemas.openxmlformats.org/officeDocument/2006/relationships/hyperlink" Target="https://www.sec.gov/Archives/edgar/data/1859007/000149315222035258/ex3-3.htm" TargetMode="External"/><Relationship Id="rId38" Type="http://schemas.openxmlformats.org/officeDocument/2006/relationships/hyperlink" Target="https://www.sec.gov/Archives/edgar/data/1859007/000164117225018403/ex4-1.htm" TargetMode="External"/><Relationship Id="rId39" Type="http://schemas.openxmlformats.org/officeDocument/2006/relationships/hyperlink" Target="https://www.sec.gov/Archives/edgar/data/1859007/000164117225016388/ex10-1.htm" TargetMode="External"/><Relationship Id="rId40" Type="http://schemas.openxmlformats.org/officeDocument/2006/relationships/hyperlink" Target="https://www.sec.gov/Archives/edgar/data/1859007/000164117225016388/ex10-2.htm" TargetMode="External"/><Relationship Id="rId41" Type="http://schemas.openxmlformats.org/officeDocument/2006/relationships/hyperlink" Target="https://www.sec.gov/Archives/edgar/data/1859007/000164117225018403/ex10-1.htm" TargetMode="External"/><Relationship Id="rId42" Type="http://schemas.openxmlformats.org/officeDocument/2006/relationships/hyperlink" Target="https://www.sec.gov/Archives/edgar/data/1859007/00016411722501840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2025-08-13T07:58:32Z</dcterms:created>
  <dcterms:modified xsi:type="dcterms:W3CDTF">2025-08-13T07:58:32Z</dcterms:modified>
</cp:coreProperties>
</file>