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660" w:right="960" w:hanging="2735"/>
        <w:spacing w:after="0" w:line="383" w:lineRule="auto"/>
        <w:tabs>
          <w:tab w:leader="none" w:pos="11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jc w:val="center"/>
        <w:ind w:left="3420" w:right="920" w:hanging="2494"/>
        <w:spacing w:after="0" w:line="391" w:lineRule="auto"/>
        <w:tabs>
          <w:tab w:leader="none" w:pos="113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001-41184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86-2685744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360"/>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100 Somerset Corporate Blvd., 2</w:t>
            </w:r>
            <w:r>
              <w:rPr>
                <w:rFonts w:ascii="Arial" w:cs="Arial" w:eastAsia="Arial" w:hAnsi="Arial"/>
                <w:sz w:val="29"/>
                <w:szCs w:val="29"/>
                <w:b w:val="1"/>
                <w:bCs w:val="1"/>
                <w:color w:val="auto"/>
                <w:w w:val="88"/>
                <w:vertAlign w:val="superscript"/>
              </w:rPr>
              <w:t>nd</w:t>
            </w:r>
            <w:r>
              <w:rPr>
                <w:rFonts w:ascii="Arial" w:cs="Arial" w:eastAsia="Arial" w:hAnsi="Arial"/>
                <w:sz w:val="18"/>
                <w:szCs w:val="18"/>
                <w:b w:val="1"/>
                <w:bCs w:val="1"/>
                <w:color w:val="auto"/>
                <w:w w:val="88"/>
              </w:rPr>
              <w:t xml:space="preserve"> Floor</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Bridgewater, New Jersey</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08807</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310-0722</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share of Class A</w:t>
            </w:r>
          </w:p>
        </w:tc>
        <w:tc>
          <w:tcPr>
            <w:tcW w:w="12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LSPRU</w:t>
            </w:r>
          </w:p>
        </w:tc>
        <w:tc>
          <w:tcPr>
            <w:tcW w:w="1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Common Stock, $0.0001 par value, and three-</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r>
      <w:tr>
        <w:trPr>
          <w:trHeight w:val="230"/>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fourths of one Redeemable Warrant</w:t>
            </w:r>
          </w:p>
        </w:tc>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02"/>
        </w:trPr>
        <w:tc>
          <w:tcPr>
            <w:tcW w:w="3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3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LSPR</w:t>
            </w:r>
          </w:p>
        </w:tc>
        <w:tc>
          <w:tcPr>
            <w:tcW w:w="4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4"/>
              </w:rPr>
              <w:t>share</w:t>
            </w:r>
          </w:p>
        </w:tc>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02"/>
        </w:trPr>
        <w:tc>
          <w:tcPr>
            <w:tcW w:w="3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Redeemable Warrants, each whole warrant</w:t>
            </w:r>
          </w:p>
        </w:tc>
        <w:tc>
          <w:tcPr>
            <w:tcW w:w="3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LSPRW</w:t>
            </w:r>
          </w:p>
        </w:tc>
        <w:tc>
          <w:tcPr>
            <w:tcW w:w="4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exercisable for one share of Class A Common</w:t>
            </w: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r>
      <w:tr>
        <w:trPr>
          <w:trHeight w:val="230"/>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Stock at an exercise price of $11.50</w:t>
            </w:r>
          </w:p>
        </w:tc>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Class B Common Stock, $0.0001 per share</w:t>
            </w:r>
          </w:p>
        </w:tc>
        <w:tc>
          <w:tcPr>
            <w:tcW w:w="3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r>
    </w:tbl>
    <w:p>
      <w:pPr>
        <w:spacing w:after="0" w:line="10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8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November 14, 2022 there were 8,087,431 shares of Class A common stock, par value $0.0001 per share and 1,941,790 shares of the Company’s Class B common stock, par value $0.0001 per share,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2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auto"/>
              </w:rPr>
              <w:t>LARKSPUR HEALTH ACQUISITION CORP.</w:t>
            </w:r>
          </w:p>
        </w:tc>
        <w:tc>
          <w:tcPr>
            <w:tcW w:w="11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gridSpan w:val="14"/>
          </w:tcPr>
          <w:p>
            <w:pPr>
              <w:jc w:val="center"/>
              <w:ind w:right="1800"/>
              <w:spacing w:after="0"/>
              <w:rPr>
                <w:sz w:val="20"/>
                <w:szCs w:val="20"/>
                <w:color w:val="auto"/>
              </w:rPr>
            </w:pPr>
            <w:r>
              <w:rPr>
                <w:rFonts w:ascii="Arial" w:cs="Arial" w:eastAsia="Arial" w:hAnsi="Arial"/>
                <w:sz w:val="18"/>
                <w:szCs w:val="18"/>
                <w:b w:val="1"/>
                <w:bCs w:val="1"/>
                <w:color w:val="auto"/>
                <w:w w:val="98"/>
              </w:rPr>
              <w:t>FORM 10-Q FOR THE QUARTER ENDED SEPTEMBER 30, 2022</w:t>
            </w:r>
          </w:p>
        </w:tc>
        <w:tc>
          <w:tcPr>
            <w:tcW w:w="112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60" w:type="dxa"/>
            <w:vAlign w:val="bottom"/>
            <w:gridSpan w:val="11"/>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r>
      <w:tr>
        <w:trPr>
          <w:trHeight w:val="439"/>
        </w:trPr>
        <w:tc>
          <w:tcPr>
            <w:tcW w:w="1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96"/>
        </w:trPr>
        <w:tc>
          <w:tcPr>
            <w:tcW w:w="10120" w:type="dxa"/>
            <w:vAlign w:val="bottom"/>
            <w:gridSpan w:val="24"/>
            <w:shd w:val="clear" w:color="auto" w:fill="CCEEFF"/>
          </w:tcPr>
          <w:p>
            <w:pPr>
              <w:spacing w:after="0" w:line="142" w:lineRule="exact"/>
              <w:rPr>
                <w:sz w:val="20"/>
                <w:szCs w:val="20"/>
                <w:color w:val="auto"/>
              </w:rPr>
            </w:pPr>
            <w:r>
              <w:rPr>
                <w:rFonts w:ascii="Arial" w:cs="Arial" w:eastAsia="Arial" w:hAnsi="Arial"/>
                <w:sz w:val="16"/>
                <w:szCs w:val="16"/>
                <w:color w:val="0000EE"/>
              </w:rPr>
              <w:t>PART I - FINANCIAL INFORMATION</w:t>
            </w:r>
          </w:p>
        </w:tc>
        <w:tc>
          <w:tcPr>
            <w:tcW w:w="112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Condensed Financial Statements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Condensed Balance Sheets as of September 30, 2022 (Unaudited) and December 31, 2021</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86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Statements of Operations (Unaudited) for the Three and Nine Months ended September 30, 2022, for the Three</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2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w w:val="94"/>
              </w:rPr>
              <w:t>Months ended September 30, 2021 and for the Period from March 17, 2021 (inception) Through September 30, 2021</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Statements of Changes in Stockholders’ Deficit (Unaudited) for the Nine Months ended September 30, 2022 and</w:t>
            </w:r>
          </w:p>
        </w:tc>
        <w:tc>
          <w:tcPr>
            <w:tcW w:w="1120" w:type="dxa"/>
            <w:vAlign w:val="bottom"/>
            <w:shd w:val="clear" w:color="auto" w:fill="CCEEFF"/>
          </w:tcPr>
          <w:p>
            <w:pPr>
              <w:spacing w:after="0"/>
              <w:rPr>
                <w:sz w:val="15"/>
                <w:szCs w:val="15"/>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800" w:type="dxa"/>
            <w:vAlign w:val="bottom"/>
            <w:tcBorders>
              <w:top w:val="single" w:sz="8" w:color="0000EE"/>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EE"/>
              </w:rPr>
              <w:t>the Period from March 17, 2021 (inception) Through September 30, 2021</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72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Statements of Cash Flows for the Nine Months ended September 30, 2022 and for the Period from March 17,</w:t>
            </w:r>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2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2021 (inception) Through September 30, 2021</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Financial Statements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720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PART II – OTHER INFORMATION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SIGNATURES</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800"/>
              <w:spacing w:after="0"/>
              <w:rPr>
                <w:sz w:val="20"/>
                <w:szCs w:val="20"/>
                <w:color w:val="auto"/>
              </w:rPr>
            </w:pPr>
            <w:r>
              <w:rPr>
                <w:rFonts w:ascii="Arial" w:cs="Arial" w:eastAsia="Arial" w:hAnsi="Arial"/>
                <w:sz w:val="18"/>
                <w:szCs w:val="18"/>
                <w:b w:val="1"/>
                <w:bCs w:val="1"/>
                <w:color w:val="auto"/>
              </w:rPr>
              <w:t>LARKSPUR HEALTH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220"/>
              <w:spacing w:after="0"/>
              <w:rPr>
                <w:sz w:val="20"/>
                <w:szCs w:val="20"/>
                <w:color w:val="auto"/>
              </w:rPr>
            </w:pPr>
            <w:r>
              <w:rPr>
                <w:rFonts w:ascii="Arial" w:cs="Arial" w:eastAsia="Arial" w:hAnsi="Arial"/>
                <w:sz w:val="18"/>
                <w:szCs w:val="18"/>
                <w:b w:val="1"/>
                <w:bCs w:val="1"/>
                <w:color w:val="auto"/>
              </w:rPr>
              <w:t>CONDENSED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213,564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225,000</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251,800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438,564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46,730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213,168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78,911,942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75,750,000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79,397,236</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77,143,357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1,625,140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1,625,140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276,835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fee payable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3,375,000</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5,000,140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3,651,835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Class A common stock subject to possible redemption; 7,767,159 shares and 7,500,000 shares (redemption value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 $10.10 per share),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78,556,033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75,750,000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$0.0001 par value; 200,000,000 shares authorized; 320,272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B common stock, $0.0001 par value; 20,000,000 shares authorized; 1,941,790 and 2,156,250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(4,159,185)</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(2,258,726)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(4,158,937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(2,258,478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otal Liabilities and Stockholders’ Deficit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79,397,236</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77,143,357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3"/>
              </w:rPr>
              <w:t>March 17,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3"/>
              </w:rPr>
              <w:t>For the Three</w:t>
            </w: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3"/>
              </w:rPr>
              <w:t>For the Three</w:t>
            </w:r>
          </w:p>
        </w:tc>
        <w:tc>
          <w:tcPr>
            <w:tcW w:w="132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1"/>
              </w:rPr>
              <w:t>For the Nine</w:t>
            </w:r>
          </w:p>
        </w:tc>
        <w:tc>
          <w:tcPr>
            <w:tcW w:w="1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116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18"/>
                <w:szCs w:val="18"/>
                <w:color w:val="auto"/>
              </w:rPr>
            </w:pPr>
          </w:p>
        </w:tc>
        <w:tc>
          <w:tcPr>
            <w:tcW w:w="11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16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985,605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2,285,405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(985,605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(2,285,405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 on assets held in Trust</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354,069</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463,636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liability</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76,588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354,069</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540,224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Pre tax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(1,745,181)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Income tax</w:t>
            </w:r>
          </w:p>
        </w:tc>
        <w:tc>
          <w:tcPr>
            <w:tcW w:w="18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(47,551)</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(47,551)</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(679,087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(1,792,732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line="201" w:lineRule="exact"/>
              <w:rPr>
                <w:sz w:val="20"/>
                <w:szCs w:val="20"/>
                <w:color w:val="auto"/>
              </w:rPr>
            </w:pPr>
            <w:r>
              <w:rPr>
                <w:rFonts w:ascii="Arial" w:cs="Arial" w:eastAsia="Arial" w:hAnsi="Arial"/>
                <w:sz w:val="18"/>
                <w:szCs w:val="18"/>
                <w:color w:val="auto"/>
                <w:w w:val="99"/>
              </w:rPr>
              <w:t>Class A Common Stock - Weighted average shares outstanding, basic and</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4"/>
                <w:szCs w:val="24"/>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8,087,431</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8,082,471</w:t>
            </w:r>
          </w:p>
        </w:tc>
        <w:tc>
          <w:tcPr>
            <w:tcW w:w="12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Class A Common Stock - Basic and diluted net loss per common share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201" w:lineRule="exact"/>
              <w:rPr>
                <w:sz w:val="20"/>
                <w:szCs w:val="20"/>
                <w:color w:val="auto"/>
              </w:rPr>
            </w:pPr>
            <w:r>
              <w:rPr>
                <w:rFonts w:ascii="Arial" w:cs="Arial" w:eastAsia="Arial" w:hAnsi="Arial"/>
                <w:sz w:val="18"/>
                <w:szCs w:val="18"/>
                <w:color w:val="auto"/>
                <w:w w:val="99"/>
              </w:rPr>
              <w:t>Class B Common Stock - Weighted average shares outstanding, basic and</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4"/>
                <w:szCs w:val="24"/>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1,941,790</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1,875,000</w:t>
            </w:r>
          </w:p>
        </w:tc>
        <w:tc>
          <w:tcPr>
            <w:tcW w:w="18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1,940,562</w:t>
            </w:r>
          </w:p>
        </w:tc>
        <w:tc>
          <w:tcPr>
            <w:tcW w:w="12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1,875,000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Class B Common Stock - Basic and diluted net loss per common share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CHANGES IN STOCKHOLDERS’ DEFICIT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877" w:right="339" w:bottom="1440" w:gutter="0" w:footer="0" w:header="0"/>
        </w:sectPr>
      </w:pP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4"/>
          <w:szCs w:val="14"/>
          <w:b w:val="1"/>
          <w:bCs w:val="1"/>
          <w:color w:val="auto"/>
        </w:rPr>
        <w:t>For The Period from March 17, 2021 (Inception) Through September 30, 2021 and For The Three Months Ended</w:t>
      </w:r>
    </w:p>
    <w:p>
      <w:pPr>
        <w:spacing w:after="0" w:line="231" w:lineRule="auto"/>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3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Class A</w:t>
            </w:r>
          </w:p>
        </w:tc>
        <w:tc>
          <w:tcPr>
            <w:tcW w:w="620" w:type="dxa"/>
            <w:vAlign w:val="bottom"/>
          </w:tcPr>
          <w:p>
            <w:pPr>
              <w:spacing w:after="0"/>
              <w:rPr>
                <w:sz w:val="14"/>
                <w:szCs w:val="14"/>
                <w:color w:val="auto"/>
              </w:rPr>
            </w:pPr>
          </w:p>
        </w:tc>
        <w:tc>
          <w:tcPr>
            <w:tcW w:w="1140" w:type="dxa"/>
            <w:vAlign w:val="bottom"/>
          </w:tcPr>
          <w:p>
            <w:pPr>
              <w:jc w:val="center"/>
              <w:ind w:right="608"/>
              <w:spacing w:after="0"/>
              <w:rPr>
                <w:sz w:val="20"/>
                <w:szCs w:val="20"/>
                <w:color w:val="auto"/>
              </w:rPr>
            </w:pPr>
            <w:r>
              <w:rPr>
                <w:rFonts w:ascii="Arial" w:cs="Arial" w:eastAsia="Arial" w:hAnsi="Arial"/>
                <w:sz w:val="14"/>
                <w:szCs w:val="14"/>
                <w:b w:val="1"/>
                <w:bCs w:val="1"/>
                <w:color w:val="auto"/>
                <w:w w:val="89"/>
              </w:rPr>
              <w:t>Class B</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Subscription</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Common Stock</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Paid-in</w:t>
            </w: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6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8"/>
        </w:trPr>
        <w:tc>
          <w:tcPr>
            <w:tcW w:w="640" w:type="dxa"/>
            <w:vAlign w:val="bottom"/>
            <w:tcBorders>
              <w:top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w w:val="94"/>
              </w:rPr>
              <w:t>Shares</w:t>
            </w:r>
          </w:p>
        </w:tc>
        <w:tc>
          <w:tcPr>
            <w:tcW w:w="1160" w:type="dxa"/>
            <w:vAlign w:val="bottom"/>
            <w:tcBorders>
              <w:top w:val="single" w:sz="8" w:color="auto"/>
            </w:tcBorders>
          </w:tcPr>
          <w:p>
            <w:pPr>
              <w:ind w:left="520"/>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620" w:type="dxa"/>
            <w:vAlign w:val="bottom"/>
            <w:tcBorders>
              <w:top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tcBorders>
              <w:top w:val="single" w:sz="8" w:color="auto"/>
            </w:tcBorders>
          </w:tcPr>
          <w:p>
            <w:pPr>
              <w:ind w:left="500"/>
              <w:spacing w:after="0" w:line="149" w:lineRule="exact"/>
              <w:rPr>
                <w:sz w:val="20"/>
                <w:szCs w:val="20"/>
                <w:color w:val="auto"/>
              </w:rPr>
            </w:pPr>
            <w:r>
              <w:rPr>
                <w:rFonts w:ascii="Arial" w:cs="Arial" w:eastAsia="Arial" w:hAnsi="Arial"/>
                <w:sz w:val="14"/>
                <w:szCs w:val="14"/>
                <w:b w:val="1"/>
                <w:bCs w:val="1"/>
                <w:color w:val="auto"/>
              </w:rPr>
              <w:t>Amount</w:t>
            </w:r>
          </w:p>
        </w:tc>
        <w:tc>
          <w:tcPr>
            <w:tcW w:w="10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8"/>
              </w:rPr>
              <w:t>Capital</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Receivables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Deficit</w:t>
            </w:r>
          </w:p>
        </w:tc>
        <w:tc>
          <w:tcPr>
            <w:tcW w:w="9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000" w:space="280"/>
            <w:col w:w="79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3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March 17, 2021 (inception)</w:t>
            </w: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ind w:left="640"/>
              <w:spacing w:after="0" w:line="155" w:lineRule="exact"/>
              <w:rPr>
                <w:sz w:val="20"/>
                <w:szCs w:val="20"/>
                <w:color w:val="auto"/>
              </w:rPr>
            </w:pPr>
            <w:r>
              <w:rPr>
                <w:rFonts w:ascii="Arial" w:cs="Arial" w:eastAsia="Arial" w:hAnsi="Arial"/>
                <w:sz w:val="14"/>
                <w:szCs w:val="14"/>
                <w:b w:val="1"/>
                <w:bCs w:val="1"/>
                <w:color w:val="auto"/>
                <w:w w:val="99"/>
              </w:rPr>
              <w:t>—</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ind w:left="280"/>
              <w:spacing w:after="0" w:line="155" w:lineRule="exact"/>
              <w:rPr>
                <w:sz w:val="20"/>
                <w:szCs w:val="20"/>
                <w:color w:val="auto"/>
              </w:rPr>
            </w:pPr>
            <w:r>
              <w:rPr>
                <w:rFonts w:ascii="Arial" w:cs="Arial" w:eastAsia="Arial" w:hAnsi="Arial"/>
                <w:sz w:val="14"/>
                <w:szCs w:val="14"/>
                <w:b w:val="1"/>
                <w:bCs w:val="1"/>
                <w:color w:val="auto"/>
                <w:w w:val="85"/>
              </w:rPr>
              <w:t>—</w:t>
            </w:r>
          </w:p>
        </w:tc>
        <w:tc>
          <w:tcPr>
            <w:tcW w:w="2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80" w:type="dxa"/>
            <w:vAlign w:val="bottom"/>
            <w:gridSpan w:val="2"/>
          </w:tcPr>
          <w:p>
            <w:pPr>
              <w:spacing w:after="0" w:line="189" w:lineRule="exact"/>
              <w:rPr>
                <w:sz w:val="20"/>
                <w:szCs w:val="20"/>
                <w:color w:val="auto"/>
              </w:rPr>
            </w:pPr>
            <w:r>
              <w:rPr>
                <w:rFonts w:ascii="Arial" w:cs="Arial" w:eastAsia="Arial" w:hAnsi="Arial"/>
                <w:sz w:val="13"/>
                <w:szCs w:val="13"/>
                <w:color w:val="auto"/>
              </w:rPr>
              <w:t>Issuance of Class B common stock to Sponsor</w:t>
            </w:r>
            <w:r>
              <w:rPr>
                <w:rFonts w:ascii="Arial" w:cs="Arial" w:eastAsia="Arial" w:hAnsi="Arial"/>
                <w:sz w:val="21"/>
                <w:szCs w:val="21"/>
                <w:color w:val="auto"/>
                <w:vertAlign w:val="superscript"/>
              </w:rPr>
              <w:t>(1)</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2,156,250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216</w:t>
            </w:r>
          </w:p>
        </w:tc>
        <w:tc>
          <w:tcPr>
            <w:tcW w:w="2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24,784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59"/>
              <w:spacing w:after="0"/>
              <w:rPr>
                <w:sz w:val="20"/>
                <w:szCs w:val="20"/>
                <w:color w:val="auto"/>
              </w:rPr>
            </w:pPr>
            <w:r>
              <w:rPr>
                <w:rFonts w:ascii="Arial" w:cs="Arial" w:eastAsia="Arial" w:hAnsi="Arial"/>
                <w:sz w:val="14"/>
                <w:szCs w:val="14"/>
                <w:color w:val="auto"/>
              </w:rPr>
              <w:t>(24,333)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(1,106)</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136"/>
        </w:trPr>
        <w:tc>
          <w:tcPr>
            <w:tcW w:w="3280" w:type="dxa"/>
            <w:vAlign w:val="bottom"/>
            <w:tcBorders>
              <w:top w:val="single" w:sz="8" w:color="CCEEFF"/>
            </w:tcBorders>
            <w:gridSpan w:val="2"/>
          </w:tcPr>
          <w:p>
            <w:pPr>
              <w:spacing w:after="0" w:line="135" w:lineRule="exact"/>
              <w:rPr>
                <w:sz w:val="20"/>
                <w:szCs w:val="20"/>
                <w:color w:val="auto"/>
              </w:rPr>
            </w:pPr>
            <w:r>
              <w:rPr>
                <w:rFonts w:ascii="Arial" w:cs="Arial" w:eastAsia="Arial" w:hAnsi="Arial"/>
                <w:sz w:val="14"/>
                <w:szCs w:val="14"/>
                <w:b w:val="1"/>
                <w:bCs w:val="1"/>
                <w:color w:val="auto"/>
              </w:rPr>
              <w:t>Balance, March 31, 2021</w:t>
            </w:r>
          </w:p>
        </w:tc>
        <w:tc>
          <w:tcPr>
            <w:tcW w:w="800" w:type="dxa"/>
            <w:vAlign w:val="bottom"/>
            <w:tcBorders>
              <w:top w:val="single" w:sz="8" w:color="auto"/>
            </w:tcBorders>
          </w:tcPr>
          <w:p>
            <w:pPr>
              <w:ind w:left="640"/>
              <w:spacing w:after="0" w:line="135" w:lineRule="exact"/>
              <w:rPr>
                <w:sz w:val="20"/>
                <w:szCs w:val="20"/>
                <w:color w:val="auto"/>
              </w:rPr>
            </w:pPr>
            <w:r>
              <w:rPr>
                <w:rFonts w:ascii="Arial" w:cs="Arial" w:eastAsia="Arial" w:hAnsi="Arial"/>
                <w:sz w:val="14"/>
                <w:szCs w:val="14"/>
                <w:b w:val="1"/>
                <w:bCs w:val="1"/>
                <w:color w:val="auto"/>
                <w:w w:val="99"/>
              </w:rPr>
              <w:t>—</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80"/>
              <w:spacing w:after="0" w:line="135" w:lineRule="exact"/>
              <w:rPr>
                <w:sz w:val="20"/>
                <w:szCs w:val="20"/>
                <w:color w:val="auto"/>
              </w:rPr>
            </w:pPr>
            <w:r>
              <w:rPr>
                <w:rFonts w:ascii="Arial" w:cs="Arial" w:eastAsia="Arial" w:hAnsi="Arial"/>
                <w:sz w:val="14"/>
                <w:szCs w:val="14"/>
                <w:b w:val="1"/>
                <w:bCs w:val="1"/>
                <w:color w:val="auto"/>
                <w:w w:val="85"/>
              </w:rPr>
              <w:t>—</w:t>
            </w:r>
          </w:p>
        </w:tc>
        <w:tc>
          <w:tcPr>
            <w:tcW w:w="22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2,156,250</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216</w:t>
            </w: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24,784</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(24,333)</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(1,106)</w:t>
            </w:r>
          </w:p>
        </w:tc>
        <w:tc>
          <w:tcPr>
            <w:tcW w:w="2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(439)</w:t>
            </w:r>
          </w:p>
        </w:tc>
        <w:tc>
          <w:tcPr>
            <w:tcW w:w="100" w:type="dxa"/>
            <w:vAlign w:val="bottom"/>
            <w:tcBorders>
              <w:top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(789)</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36"/>
        </w:trPr>
        <w:tc>
          <w:tcPr>
            <w:tcW w:w="3280" w:type="dxa"/>
            <w:vAlign w:val="bottom"/>
            <w:tcBorders>
              <w:top w:val="single" w:sz="8" w:color="CCEEFF"/>
            </w:tcBorders>
            <w:gridSpan w:val="2"/>
          </w:tcPr>
          <w:p>
            <w:pPr>
              <w:spacing w:after="0" w:line="135" w:lineRule="exact"/>
              <w:rPr>
                <w:sz w:val="20"/>
                <w:szCs w:val="20"/>
                <w:color w:val="auto"/>
              </w:rPr>
            </w:pPr>
            <w:r>
              <w:rPr>
                <w:rFonts w:ascii="Arial" w:cs="Arial" w:eastAsia="Arial" w:hAnsi="Arial"/>
                <w:sz w:val="14"/>
                <w:szCs w:val="14"/>
                <w:b w:val="1"/>
                <w:bCs w:val="1"/>
                <w:color w:val="auto"/>
              </w:rPr>
              <w:t>Balance, June 30, 2021</w:t>
            </w:r>
          </w:p>
        </w:tc>
        <w:tc>
          <w:tcPr>
            <w:tcW w:w="800" w:type="dxa"/>
            <w:vAlign w:val="bottom"/>
            <w:tcBorders>
              <w:top w:val="single" w:sz="8" w:color="auto"/>
            </w:tcBorders>
          </w:tcPr>
          <w:p>
            <w:pPr>
              <w:ind w:left="640"/>
              <w:spacing w:after="0" w:line="135" w:lineRule="exact"/>
              <w:rPr>
                <w:sz w:val="20"/>
                <w:szCs w:val="20"/>
                <w:color w:val="auto"/>
              </w:rPr>
            </w:pPr>
            <w:r>
              <w:rPr>
                <w:rFonts w:ascii="Arial" w:cs="Arial" w:eastAsia="Arial" w:hAnsi="Arial"/>
                <w:sz w:val="14"/>
                <w:szCs w:val="14"/>
                <w:b w:val="1"/>
                <w:bCs w:val="1"/>
                <w:color w:val="auto"/>
                <w:w w:val="99"/>
              </w:rPr>
              <w:t>—</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80"/>
              <w:spacing w:after="0" w:line="135" w:lineRule="exact"/>
              <w:rPr>
                <w:sz w:val="20"/>
                <w:szCs w:val="20"/>
                <w:color w:val="auto"/>
              </w:rPr>
            </w:pPr>
            <w:r>
              <w:rPr>
                <w:rFonts w:ascii="Arial" w:cs="Arial" w:eastAsia="Arial" w:hAnsi="Arial"/>
                <w:sz w:val="14"/>
                <w:szCs w:val="14"/>
                <w:b w:val="1"/>
                <w:bCs w:val="1"/>
                <w:color w:val="auto"/>
                <w:w w:val="85"/>
              </w:rPr>
              <w:t>—</w:t>
            </w:r>
          </w:p>
        </w:tc>
        <w:tc>
          <w:tcPr>
            <w:tcW w:w="22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2,156,250</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216</w:t>
            </w: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24,784</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(24,333)</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(1,895)</w:t>
            </w:r>
          </w:p>
        </w:tc>
        <w:tc>
          <w:tcPr>
            <w:tcW w:w="2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(1,228)</w:t>
            </w:r>
          </w:p>
        </w:tc>
        <w:tc>
          <w:tcPr>
            <w:tcW w:w="100" w:type="dxa"/>
            <w:vAlign w:val="bottom"/>
            <w:tcBorders>
              <w:top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ind w:left="640"/>
              <w:spacing w:after="0"/>
              <w:rPr>
                <w:sz w:val="20"/>
                <w:szCs w:val="20"/>
                <w:color w:val="auto"/>
              </w:rPr>
            </w:pPr>
            <w:r>
              <w:rPr>
                <w:rFonts w:ascii="Arial" w:cs="Arial" w:eastAsia="Arial" w:hAnsi="Arial"/>
                <w:sz w:val="14"/>
                <w:szCs w:val="14"/>
                <w:b w:val="1"/>
                <w:bCs w:val="1"/>
                <w:color w:val="auto"/>
                <w:w w:val="99"/>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(174)</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September 30, 2021</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69"/>
        </w:trPr>
        <w:tc>
          <w:tcPr>
            <w:tcW w:w="3280" w:type="dxa"/>
            <w:vAlign w:val="bottom"/>
            <w:gridSpan w:val="2"/>
            <w:vMerge w:val="continue"/>
          </w:tcPr>
          <w:p>
            <w:pPr>
              <w:spacing w:after="0"/>
              <w:rPr>
                <w:sz w:val="14"/>
                <w:szCs w:val="14"/>
                <w:color w:val="auto"/>
              </w:rPr>
            </w:pPr>
          </w:p>
        </w:tc>
        <w:tc>
          <w:tcPr>
            <w:tcW w:w="800" w:type="dxa"/>
            <w:vAlign w:val="bottom"/>
          </w:tcPr>
          <w:p>
            <w:pPr>
              <w:ind w:left="640"/>
              <w:spacing w:after="0"/>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4"/>
                <w:szCs w:val="14"/>
                <w:color w:val="auto"/>
              </w:rPr>
            </w:pPr>
          </w:p>
        </w:tc>
        <w:tc>
          <w:tcPr>
            <w:tcW w:w="46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2,156,250</w:t>
            </w:r>
          </w:p>
        </w:tc>
        <w:tc>
          <w:tcPr>
            <w:tcW w:w="4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216</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24,784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(24,333</w:t>
            </w:r>
          </w:p>
        </w:tc>
        <w:tc>
          <w:tcPr>
            <w:tcW w:w="140" w:type="dxa"/>
            <w:vAlign w:val="bottom"/>
            <w:vMerge w:val="continue"/>
          </w:tcPr>
          <w:p>
            <w:pPr>
              <w:spacing w:after="0"/>
              <w:rPr>
                <w:sz w:val="14"/>
                <w:szCs w:val="14"/>
                <w:color w:val="auto"/>
              </w:rPr>
            </w:pPr>
          </w:p>
        </w:tc>
        <w:tc>
          <w:tcPr>
            <w:tcW w:w="34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(2,069</w:t>
            </w:r>
          </w:p>
        </w:tc>
        <w:tc>
          <w:tcPr>
            <w:tcW w:w="220" w:type="dxa"/>
            <w:vAlign w:val="bottom"/>
            <w:vMerge w:val="continue"/>
          </w:tcPr>
          <w:p>
            <w:pPr>
              <w:spacing w:after="0"/>
              <w:rPr>
                <w:sz w:val="14"/>
                <w:szCs w:val="1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(1,402</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an aggregate of up to 281,250 shares of Class B common stock subject to forfeiture if the over-allotment option is not exercised in full or in part by the underwriters (see Notes 5 and 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and Nine Months Ended</w:t>
            </w: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A</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w w:val="89"/>
              </w:rPr>
              <w:t>Class B</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Subscription</w:t>
            </w:r>
          </w:p>
        </w:tc>
        <w:tc>
          <w:tcPr>
            <w:tcW w:w="11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280" w:type="dxa"/>
            <w:vAlign w:val="bottom"/>
            <w:gridSpan w:val="2"/>
            <w:vMerge w:val="continue"/>
          </w:tcPr>
          <w:p>
            <w:pPr>
              <w:spacing w:after="0"/>
              <w:rPr>
                <w:sz w:val="15"/>
                <w:szCs w:val="15"/>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continue"/>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69"/>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9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9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Receivables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3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January 1, 2022</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317,600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86"/>
              </w:rPr>
              <w:t>2,156,250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(2,258,726)</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(2,258,478)</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Forfeit of shares upon partial exercise of over</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2"/>
          </w:tcPr>
          <w:p>
            <w:pPr>
              <w:ind w:left="180"/>
              <w:spacing w:after="0"/>
              <w:rPr>
                <w:sz w:val="20"/>
                <w:szCs w:val="20"/>
                <w:color w:val="auto"/>
              </w:rPr>
            </w:pPr>
            <w:r>
              <w:rPr>
                <w:rFonts w:ascii="Arial" w:cs="Arial" w:eastAsia="Arial" w:hAnsi="Arial"/>
                <w:sz w:val="14"/>
                <w:szCs w:val="14"/>
                <w:color w:val="auto"/>
              </w:rPr>
              <w:t>allotment option</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(214,460)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Issuance of shares upon partial exercise of over</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allotment option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2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(720,006)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(720,006)</w:t>
            </w:r>
          </w:p>
        </w:tc>
        <w:tc>
          <w:tcPr>
            <w:tcW w:w="0" w:type="dxa"/>
            <w:vAlign w:val="bottom"/>
          </w:tcPr>
          <w:p>
            <w:pPr>
              <w:spacing w:after="0"/>
              <w:rPr>
                <w:sz w:val="1"/>
                <w:szCs w:val="1"/>
                <w:color w:val="auto"/>
              </w:rPr>
            </w:pPr>
          </w:p>
        </w:tc>
      </w:tr>
      <w:tr>
        <w:trPr>
          <w:trHeight w:val="148"/>
        </w:trPr>
        <w:tc>
          <w:tcPr>
            <w:tcW w:w="328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March 31, 2022</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320,272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86"/>
              </w:rPr>
              <w:t>1,941,790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76"/>
              </w:rPr>
              <w:t>22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(2,978,732)</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(2,978,484)</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(393,639)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(393,639)</w:t>
            </w:r>
          </w:p>
        </w:tc>
        <w:tc>
          <w:tcPr>
            <w:tcW w:w="0" w:type="dxa"/>
            <w:vAlign w:val="bottom"/>
          </w:tcPr>
          <w:p>
            <w:pPr>
              <w:spacing w:after="0"/>
              <w:rPr>
                <w:sz w:val="1"/>
                <w:szCs w:val="1"/>
                <w:color w:val="auto"/>
              </w:rPr>
            </w:pPr>
          </w:p>
        </w:tc>
      </w:tr>
      <w:tr>
        <w:trPr>
          <w:trHeight w:val="149"/>
        </w:trPr>
        <w:tc>
          <w:tcPr>
            <w:tcW w:w="328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2022</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320,272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86"/>
              </w:rPr>
              <w:t>1,941,790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76"/>
              </w:rPr>
              <w:t>22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(3,372,371)</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(3,372,123)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gridSpan w:val="2"/>
          </w:tcPr>
          <w:p>
            <w:pPr>
              <w:spacing w:after="0" w:line="130" w:lineRule="exact"/>
              <w:rPr>
                <w:sz w:val="20"/>
                <w:szCs w:val="20"/>
                <w:color w:val="auto"/>
              </w:rPr>
            </w:pPr>
            <w:r>
              <w:rPr>
                <w:rFonts w:ascii="Arial" w:cs="Arial" w:eastAsia="Arial" w:hAnsi="Arial"/>
                <w:sz w:val="14"/>
                <w:szCs w:val="14"/>
                <w:color w:val="auto"/>
              </w:rPr>
              <w:t>Remeasurement of redeemable Class A Common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2"/>
          </w:tcPr>
          <w:p>
            <w:pPr>
              <w:ind w:left="180"/>
              <w:spacing w:after="0"/>
              <w:rPr>
                <w:sz w:val="20"/>
                <w:szCs w:val="20"/>
                <w:color w:val="auto"/>
              </w:rPr>
            </w:pPr>
            <w:r>
              <w:rPr>
                <w:rFonts w:ascii="Arial" w:cs="Arial" w:eastAsia="Arial" w:hAnsi="Arial"/>
                <w:sz w:val="14"/>
                <w:szCs w:val="14"/>
                <w:color w:val="auto"/>
              </w:rPr>
              <w:t>Stock to redemption value</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(107,727)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(107,727)</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(679,087)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(679,087)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September 30, 2022</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70"/>
        </w:trPr>
        <w:tc>
          <w:tcPr>
            <w:tcW w:w="3280" w:type="dxa"/>
            <w:vAlign w:val="bottom"/>
            <w:gridSpan w:val="2"/>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320,272</w:t>
            </w:r>
          </w:p>
        </w:tc>
        <w:tc>
          <w:tcPr>
            <w:tcW w:w="1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32</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1,941,790</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194</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tcPr>
          <w:p>
            <w:pPr>
              <w:ind w:left="520"/>
              <w:spacing w:after="0"/>
              <w:rPr>
                <w:sz w:val="20"/>
                <w:szCs w:val="20"/>
                <w:color w:val="auto"/>
              </w:rPr>
            </w:pPr>
            <w:r>
              <w:rPr>
                <w:rFonts w:ascii="Arial" w:cs="Arial" w:eastAsia="Arial" w:hAnsi="Arial"/>
                <w:sz w:val="14"/>
                <w:szCs w:val="14"/>
                <w:b w:val="1"/>
                <w:bCs w:val="1"/>
                <w:color w:val="auto"/>
              </w:rPr>
              <w:t>22</w:t>
            </w:r>
          </w:p>
        </w:tc>
        <w:tc>
          <w:tcPr>
            <w:tcW w:w="480" w:type="dxa"/>
            <w:vAlign w:val="bottom"/>
            <w:gridSpan w:val="2"/>
          </w:tcPr>
          <w:p>
            <w:pPr>
              <w:jc w:val="right"/>
              <w:ind w:right="23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8"/>
              </w:rPr>
              <w:t>(4,159,185</w:t>
            </w:r>
          </w:p>
        </w:tc>
        <w:tc>
          <w:tcPr>
            <w:tcW w:w="220" w:type="dxa"/>
            <w:vAlign w:val="bottom"/>
            <w:vMerge w:val="continue"/>
          </w:tcPr>
          <w:p>
            <w:pPr>
              <w:spacing w:after="0"/>
              <w:rPr>
                <w:sz w:val="14"/>
                <w:szCs w:val="14"/>
                <w:color w:val="auto"/>
              </w:rPr>
            </w:pPr>
          </w:p>
        </w:tc>
        <w:tc>
          <w:tcPr>
            <w:tcW w:w="1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(4,158,937</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LARKSPUR HEALTH ACQUISITION CORP.</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STATEMENTS OF CASH FLOWS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March 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1"/>
              </w:rPr>
              <w:t>For the Nine</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(1,792,732)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earned on Trust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(463,636)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offering costs paid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formation costs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193,238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(76,588)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1,424,893</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(714,825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into Trust account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(2,698,306)</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(2,698,306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of units in public offering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2,698,306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 from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paid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(63,798)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issuance of note payable –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719,084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B common stock</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2,698,306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686,759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(714,825)</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928,389</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at end of period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213,564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686,502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338,609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Initial classification of potentially redeemable Class A common stock</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2,698,306</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Remeasurement of redeemable Class A Common Stock to redemption value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Class B common stock issued for subscription receivables</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BUSINESS OPERATIONS AND GOING CONCERN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Larkspur Health Acquisition Corp. (the “Company”) was incorporated in Delaware on March 17, 2021.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2022, the Company had not commenced any operations. All activity for the period from March 17, 2021 (inception) through September 30, 2022 relates to the Company’s initial public offering (the “Initial Public Offering” or “IPO”), which is described below, and consummation of its initial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registration statement for the Company’s Initial Public Offering (the “Registration Statement”) was declared effective on December 20, 2021. On December 23, 2021, the Company consummated its Initial Public Offering of 7,500,000 units (“Units” and, with respect to the common stock included in the Units being offered, the “Public Shares”), generating gross proceeds of $75,000,000, which is described in Note 3.</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317,600 units (the “Private Placement Units”) at a price of $10.00 per Private Unit in private placements to Larkspur Health LLC (the “Sponsor”).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23, 2021, transaction costs amounted to $6,639,594 consisting of $500,000 of underwriting fees, $3,375,000 of business combination fee payable (which are held in a trust account with Continental Stock Transfer and Trust Company acting as trustee (the “Trust Account”)), $2,179,470 of the excess of fair value over the purchase price of certain founder shares transferred to additional sponsor investors and $593,778 of Initial Public Offering costs. These costs were charged to additional paid-in capital or accumulated deficit to the extent additional paid-in capital is fully depleted upon completion of the Initial Public Offering. As described in Note 6, the $3,375,000 business combination fee is contingent upon the consummation of a Business Combination within 12 months, unless the time period to consummate a Business Combination is extended pursuant to the Company’s amended and restated certificate of incorporation.</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closing of the Initial Public Offering on December 23, 2021, an amount of $75,750,000 ($10.10 per Unit) from the net proceeds of the sale of the Units in the Initial Public Offering and the Private Placement (as defined in Note 4) was placed in the Trust Account. The funds held in the Trust Account may be invested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GOING CONCERN </w:t>
      </w:r>
      <w:r>
        <w:rPr>
          <w:rFonts w:ascii="Arial" w:cs="Arial" w:eastAsia="Arial" w:hAnsi="Arial"/>
          <w:sz w:val="18"/>
          <w:szCs w:val="18"/>
          <w:color w:val="auto"/>
        </w:rPr>
        <w:t>(cont.)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July 20, 2022, the Company entered into a Business Combination Agreement, (the “Business Combination Agreement”), with ZyVersa Therapeutics, Inc. (“ZyVersa”), Larkspur Merger Sub Inc. (“Merger Sub”) and Stephen Glover. Upon the consummation of the transactions contemplated by the Business Combination Agreement (the “Transactions”), Merger Sub will merge with and into ZyVersa, with ZyVersa surviving as a wholly-owned subsidiary of the Company (the “Business Combination”). The combined company is expected to be named ZyVersa Therapeutics, Inc.</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Business Combination Agreement provides that the following transactions will occur:</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Immediately prior to the effective time of the Business Combination (the “Effective Time”), each share of ZyVersa’s Series A Preferred Stock that is issued and outstanding will automatically convert into a number of shares of ZyVersa’s common stock at the then-effective conversion rate, as calculated pursuant to ZyVersa’s Articles of Incorporation (the “Conversion”).</w:t>
      </w:r>
    </w:p>
    <w:p>
      <w:pPr>
        <w:spacing w:after="0" w:line="183" w:lineRule="exact"/>
        <w:rPr>
          <w:rFonts w:ascii="Arial" w:cs="Arial" w:eastAsia="Arial" w:hAnsi="Arial"/>
          <w:sz w:val="18"/>
          <w:szCs w:val="18"/>
          <w:color w:val="auto"/>
        </w:rPr>
      </w:pPr>
    </w:p>
    <w:p>
      <w:pPr>
        <w:jc w:val="both"/>
        <w:ind w:left="980" w:right="480" w:hanging="324"/>
        <w:spacing w:after="0" w:line="30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the Effective Time, (a) each share of ZyVersa’s common stock issued and outstanding (including shares of ZyVersa’s common stock resulting from the Conversion) will be canceled and converted into a number of shares of the Company’s common stock, as determined pursuant to the terms of the Business Combination Agreement; and (b) each share of Merger Sub common stock issued and outstanding immediately prior to the Effective Time will be converted into and exchanged for one share of common stock of ZyVersa.</w:t>
      </w:r>
    </w:p>
    <w:p>
      <w:pPr>
        <w:spacing w:after="0" w:line="157" w:lineRule="exact"/>
        <w:rPr>
          <w:rFonts w:ascii="Arial" w:cs="Arial" w:eastAsia="Arial" w:hAnsi="Arial"/>
          <w:sz w:val="16"/>
          <w:szCs w:val="16"/>
          <w:color w:val="auto"/>
        </w:rPr>
      </w:pPr>
    </w:p>
    <w:p>
      <w:pPr>
        <w:jc w:val="both"/>
        <w:ind w:left="980" w:hanging="324"/>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 as of the Effective Time, each ZyVersa warrant, to the extent then outstanding and unexercised, will automatically, without any action on the part of the holder thereof, be assumed and converted into a warrant to acquire a number of shares of the Registrant’s common stock at an adjusted exercise price per share, in each case, as determined pursuant to the terms of the Business Combination Agreement.</w:t>
      </w:r>
    </w:p>
    <w:p>
      <w:pPr>
        <w:spacing w:after="0" w:line="1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ZyVersa stock option that is outstanding and unexercised as of immediately prior to the Effective Time, whether or not vested, will be assumed and converted into an option to purchase a number of shares of the Registrant’s common stock, as determined pursuant to the terms of the Business Combination Agreement.</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ZyVersa note that is outstanding as of immediately prior to the Effective Time which by its terms will not convert into ZyVersa’s common stock in connection with the Transactions, if any, will be assumed by the Company and will remain outstanding pursuant to the terms and conditions then in effect.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Transactions are subject to the satisfaction or waiver of certain customary closing conditions contained in the Business Combination Agreement, including, among other things, the Company and ZyVersa shall have received aggregate commitments of at least $10.0 million in connection with the sale of securities pursuant to the Stock Purchase Agreement entered into on July 20, 2022, as amended, by and between the Company and the purchasers listed on the signatory pages thereto.</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parties to the Business Combination Agreement have made customary representations and warranties, and have agreed to certain customary covenants in the Business Combination Agreement, including, among others, covenants with respect to the conduct of the Company, ZyVersa and Merger Sub, and their subsidiaries, prior to the closing of the Transactions.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Business Combination Agreement may be terminated by the Company or ZyVersa, under certain circumstances, including, among others, (i) by mutual written consent of the Company and ZyVersa, (ii) by either the Company or ZyVersa if the Effective Time shall not have occurred prior to December 15, 2022, (iii) by either the Company or ZyVersa if any Governmental Order has become final and non-appealable and has the effect of making consummation of the Transactions illegal or otherwise preventing or prohibiting consummation of the Transactions, (iv) by either the Company or ZyVersa if any of the required proposals fail to receive the requisite vote for approval at the Company’s Shareholders’ Meeting, (v) by the Company, in the event that ZyVersa’s shareholders don’t consent to the Transactions, (vi) by the Company upon ZyVersa breaching any representation, covenant or agreement; or (vii) by ZyVersa upon the Company breaching any representation, covenant or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expects to account for the Business Combination as a reverse recapitalization, whereby ZyVersa is deemed to be the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acquirer.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GOING CONCERN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Initial Public Offering, management has agreed that an amount equal to at least $10.10 per Unit sold in the Initial Public Offering, including proceeds of the Private Placement Units,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provide the holders of the outstanding Public Shares (the “Public Stockholders”) with the opportunity to redeem all or a portion of their Public Shares either (i) in connection with a stockholder meeting called to approve the Business Combination or (ii) by means of a tender offer in connection with the Business Combination.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$10.10 per Public Share, plus any pro rata interest then in the Trust Account, net of taxes payable). There will be no redemption rights upon the completion of a Business Combination with respect to the Company’s warrants.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All of the Public Shares contain a redemption feature which allows for the redemption of such Public Shares in connection with the Company’s liquidation, if there is a stockholder vote or tender offer in connection with the Company’s Business Combination and in connection with certain amendments to the Company’s amended and restated certificate of incorporation (the “Certificate of Incorporation”). In accordance with the rules of the U.S. Securities and Exchange Commission (the “SEC”) and its guidance on redeemable equity instruments, which has been codified in ASC 480-10-S99, redemption provisions not solely within the control of a company require common stock subject to redemption to be classified outside of permanent equity. Given that the Public Shares will be issued with other freestanding instruments (i.e., public warrants), the initial carrying value of Class A common stock classified as temporary equity will be the allocated proceeds determined in accordance with ASC 470-20. The Class A common stock is subject to ASC 480-10-S99. 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 The accretion or remeasurement will be treated as a deemed dividend (i.e., a reduction to retained earnings, or in absence of retained earnings, additional paid-in capital). While redemptions cannot cause the Company’s net tangible assets to fall below $5,000,001, the Public Shares are redeemable and will be classified as such on the balance sheet until such date that a redemption event takes place.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will not redeem Public Shares in an amount that would cause its net tangible assets to be less than $5,000,001 (so that it does not then become subject to the SEC’s “penny stock” rules) or any greater net tangible asset or cash requirement which may be contained in the agreement relating to the Business Combination. If the Company seeks stockholder approval of the Business Combination, the Company will proceed with a Business Combination if a majority of the outstanding shares voted are voted in favor of the Business Combination, or such other vote as required by law or stock exchange rule. If a stockholder vote is not required by applicable law or stock exchange listing requirements and the Company does not decide to hold a stockholder vote for business or other reasons, the Company will, pursuant to its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GOING CONCERN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holders of the Founder Shares have agreed (a) to waive their redemption rights with respect to the Founder Shares and Public Shares held by them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Company has not completed a Business Combination within 12 months from the closing of the Initial Public Offering (or up to 18 months from the closing of the Initial Public Offering at the election of the Company in two separate three month extensions subject to satisfaction of certain conditions)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holders of the Founders Shares have agreed to waive their liquidation rights with respect to the Founder Shares if the Company fails to complete a Business Combination within the Combination Period. However, if the holders of Founder Shares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$10.10 per Public Share or (ii) such lesser amount per Public Share held in the Trust Account as of the date of the liquidation of the Trust Account, if less than $10.10 per Public Share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GOING CONCERN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Company’s assessment of going concern considerations in accordance with Account Standards Update (“ASU”) 2014-15, “Disclosures of Uncertainties about an Entity’s Ability to Continue as a Going Concern,” management has determined that the Combination Period is less than one year from the date of the issuance of the financial statements. There is no assurance that the Company’s plans to consummate a business combination will be successful within or the Company’s available funds will be sufficient to fund our operations through the Combination Period. As a result, there is substantial doubt about the entity’s ability to continue as a going concern within one year after the date that the financial statements are issued or are available to be issued as well as the liquidity to fund operations. The financial statements do not include any adjustments that might result from the outcome of the uncertainty.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close of the Initial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accompanying unaudited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accompanying unaudited financial statements should be read in conjunction with the Company’s Annual Report filed on Form 10-K.</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opinion of the Company’s management, the unaudited financial statements as of September 30, 2022 and for the three and nine months ended September 30, 2022 include all adjustments, which are only of a normal and recurring nature, necessary for a fair statement of the financial position of the Company as of September 30, 2022 and its results of operations and cash flows for the three and nine months ended September 30, 2022. The results of operations for the three and nine months ended September 30, 2022 are not necessarily indicative of the results to be expected for the full fiscal year ending December 31, 2022 or any future interim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as amended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of September 30, 2022, the Company had $78,911,942 in Investments held in the Trust Account. The Company classifies these investments as trading securities which are recorded at fair value with realized and unrealized gains and losses recorded in the statement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a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complies with the requirements of FASB ASC 340-10-S99-1 and SEC Staff Accounting Bulletin (“SAB”) Topic 5A —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Offering.” </w:t>
      </w:r>
      <w:r>
        <w:rPr>
          <w:rFonts w:ascii="Arial" w:cs="Arial" w:eastAsia="Arial" w:hAnsi="Arial"/>
          <w:sz w:val="18"/>
          <w:szCs w:val="18"/>
          <w:color w:val="auto"/>
        </w:rPr>
        <w:t>Offering costs of $593,778 consist principally of costs incurred in connection with formation and preparation for the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together with the underwriter discount of $500,000 and deferred business combination fee payable of $3,375,000, were charged to additional paid-in capital upon completion of the Initial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effective tax rate was 7.5% and 0.0% for the three months ended September 30, 2022 and 2021, respectively, and 2.7% and 0.0% for the three months ended September 30, 2022 and for the period from March 17, 2021 (inception) through September 30, 2021, respectively. The effective tax rate differs from the statutory tax rate of 0% for the three and nine months ended September 30, 2022 and 2021, due to changes in the valuation allowance on the deferred tax assets.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Inflation Reduction Act (“IRA”) was enacted on August 16, 2022. The IRA includes provisions imposing a 1% excise tax on share repurchases that occur after December 31, 2022 and introduces a 15% corporate alternative minimum tax (“CAMT”) on adjusted financial statement income. The CAMT will be effective for us beginning in fiscal year 2024. We currently are not expecting the IRA to have a material adverse impact on our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The Company has two classes of stock, which are referred to as Class A Common Stock and Class B Common Stock. Income and losses are shared pro rata between the two classes of stock. Net income (loss) per share of common stock is computed by dividing net income (loss) by the weighted average number of shares of common stock outstanding for the period. Accretion associated with the redeemable shares of Class A common stock is excluded from income (loss) per common share as the redemption value approximates fair value.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calculation of diluted loss per share of common stock does not consider the effect of the warrants issued in connection with the (i) Initial Public Offering, and (ii) the Private Placement since the exercise of the warrants is contingent upon the occurrence of future events. As of September 30, 2022 and September 30, 2021, the Company did not have any dilutive securities or other contracts that could, potentially, be exercised or converted into common stock and then share in the earnings of the Company. As a result, diluted net loss per common share is the same as basic net loss per common share for the periods presented.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calculation of basic and diluted net loss per common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For the Three Months</w:t>
            </w:r>
          </w:p>
        </w:tc>
        <w:tc>
          <w:tcPr>
            <w:tcW w:w="140" w:type="dxa"/>
            <w:vAlign w:val="bottom"/>
          </w:tcPr>
          <w:p>
            <w:pPr>
              <w:spacing w:after="0"/>
              <w:rPr>
                <w:sz w:val="19"/>
                <w:szCs w:val="19"/>
                <w:color w:val="auto"/>
              </w:rPr>
            </w:pPr>
          </w:p>
        </w:tc>
        <w:tc>
          <w:tcPr>
            <w:tcW w:w="240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341"/>
              <w:spacing w:after="0"/>
              <w:rPr>
                <w:sz w:val="20"/>
                <w:szCs w:val="20"/>
                <w:color w:val="auto"/>
              </w:rPr>
            </w:pPr>
            <w:r>
              <w:rPr>
                <w:rFonts w:ascii="Arial" w:cs="Arial" w:eastAsia="Arial" w:hAnsi="Arial"/>
                <w:sz w:val="18"/>
                <w:szCs w:val="18"/>
                <w:b w:val="1"/>
                <w:bCs w:val="1"/>
                <w:color w:val="auto"/>
                <w:w w:val="93"/>
              </w:rPr>
              <w:t>Ended September 30, 2022</w:t>
            </w:r>
          </w:p>
        </w:tc>
        <w:tc>
          <w:tcPr>
            <w:tcW w:w="140" w:type="dxa"/>
            <w:vAlign w:val="bottom"/>
          </w:tcPr>
          <w:p>
            <w:pPr>
              <w:spacing w:after="0"/>
              <w:rPr>
                <w:sz w:val="20"/>
                <w:szCs w:val="20"/>
                <w:color w:val="auto"/>
              </w:rPr>
            </w:pPr>
          </w:p>
        </w:tc>
        <w:tc>
          <w:tcPr>
            <w:tcW w:w="240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92"/>
              </w:rPr>
              <w:t>Ended September 30, 2022</w:t>
            </w:r>
          </w:p>
        </w:tc>
      </w:tr>
      <w:tr>
        <w:trPr>
          <w:trHeight w:val="236"/>
        </w:trPr>
        <w:tc>
          <w:tcPr>
            <w:tcW w:w="59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8"/>
                <w:szCs w:val="18"/>
                <w:b w:val="1"/>
                <w:bCs w:val="1"/>
                <w:color w:val="auto"/>
              </w:rPr>
              <w:t>Class A</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Class B</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01"/>
              <w:spacing w:after="0"/>
              <w:rPr>
                <w:sz w:val="20"/>
                <w:szCs w:val="20"/>
                <w:color w:val="auto"/>
              </w:rPr>
            </w:pPr>
            <w:r>
              <w:rPr>
                <w:rFonts w:ascii="Arial" w:cs="Arial" w:eastAsia="Arial" w:hAnsi="Arial"/>
                <w:sz w:val="18"/>
                <w:szCs w:val="18"/>
                <w:b w:val="1"/>
                <w:bCs w:val="1"/>
                <w:color w:val="auto"/>
              </w:rPr>
              <w:t>Class A</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Class B</w:t>
            </w:r>
          </w:p>
        </w:tc>
        <w:tc>
          <w:tcPr>
            <w:tcW w:w="80" w:type="dxa"/>
            <w:vAlign w:val="bottom"/>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(547,607)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(131,480)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(1,444,749)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(347,983)</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8,087,431</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1,941,790</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8,082,471</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1,940,562</w:t>
            </w:r>
          </w:p>
        </w:tc>
        <w:tc>
          <w:tcPr>
            <w:tcW w:w="80" w:type="dxa"/>
            <w:vAlign w:val="bottom"/>
            <w:shd w:val="clear" w:color="auto" w:fill="CCEEFF"/>
          </w:tcPr>
          <w:p>
            <w:pPr>
              <w:spacing w:after="0"/>
              <w:rPr>
                <w:sz w:val="21"/>
                <w:szCs w:val="2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to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at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78,911,942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75,750,000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 The over-allotment option is deemed to be a freestanding financial instrument indexed on the contingently redeemable shares and is accounted for as a liability pursuant to ASC 480. The warrants issued in connection with the Initial Public Offering and the Private Placement are recorded in equity as they qualify for equity treatment under ASC 815-40.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enumerated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Common stock subject to mandatory redemption is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by the Company to be outside of the Company’s control and subject to the occurrence of uncertain future events. Accordingly, at September 30, 2022 and December 31, 2021, the shares of Class A common stock subject to possible redemption in the amount of $78,556,033 and $75,750,000, respectively, are presented as temporary equity, outside of the stockholders’ equity section of the Company’s balance sheet. The increase of $2,806,033 during the nine months ended September 30, 2022 in the Class A common stock subject to possible redemption is a remeasurement adjustment to the redemption value of $107,727 and proceeds from the partial exercise of the over-allotment option of $2,698,306.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Accounting Standards Update (“ASU”) No.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470-20) and Derivatives and Hedging — Contracts in Entity’s Own Equity (Subtopic 815-40): Accounting for Convertible Instruments and Contracts in an Entity’s Own Equity (“ASU 2020-06”)</w:t>
      </w:r>
      <w:r>
        <w:rPr>
          <w:rFonts w:ascii="Arial" w:cs="Arial" w:eastAsia="Arial" w:hAnsi="Arial"/>
          <w:sz w:val="16"/>
          <w:szCs w:val="16"/>
          <w:color w:val="auto"/>
        </w:rPr>
        <w:t>”, which simplifies accounting for convertible instruments by removing major separation models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under current GAAP. The ASU also removes certain settlement conditions that are required for equity-linked contracts to qualify for the derivative scope exception, and it simplifies the diluted earnings per share calculation in certain areas. ASU 2020-06 is effective for the Company on January 1, 2023. The Company does not expect the adoption of the ASU to have a material impact on the Company’s financial position, results of operations or cash flows.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INITAL PUBLIC OFFERING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Initial Public Offering, the Company sold 7,500,000 Units at a price of $10.00 per Unit. Each Unit consists of one share of Class A common stock and three-fourths of one redeemable warrant (“Public Warrant”). Each whole Public Warrant entitles the holder to purchase one share of Class A common stock at a price of $11.50 per share, subject to adjustment (see Note 7).</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PLACEMENTS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sale of 317,600 Private Placement Units at a price of $10.00 per Private Placement Unit ($3,176,000) to the Sponsor (the “Private Placement”). Each Private Placement Unit consists of one share of Class A common stock and three-fourths of one redeemable warrant (“Private Warrant”). Each Private Warrant is exercisable to purchase one share of Class A common stock at a price of $11.50 per share, subject to adjustment (see Note 7). The proceeds from the sale of the Private Placement Units were added to the net proceeds from the Initial Public Offering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Warrants will expire worthless. The Private Warrants (including the Class A common stock issuable upon exercise of the Private Warrants) will not be transferable, assignable or salable until after the completion of an Initial Business Combination, subject to certain exceptions.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period ended December 31, 2021, the Sponsor’s investors received a total of 2,156,250 of the Company’s Class B common stock (as adjusted, the “Founder Shares”) for an aggregate purchase price of $25,000. The Founder Shares included an aggregate of up to 281,250 shares subject to forfeiture to the extent that the underwriters’ over-allotment is not exercised in full or in part, so that the number of Founder Shares will equal, on an as-converted basis, approximately 20% of the Company’s issued and outstanding shares of common stock after the Initial Public Offering. 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holders of the Founder Shares have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18, 2021, Larkspur Health LLC transferred 231,423 founder shares to certain additional sponsor investors and the representative transferred 110,723 founder shares to certain additional sponsor investors. The Company accounted for the excess of fair value over the purchase price, which totaled $2,179,470, as an offering cost with an offset to additional paid-in capital or accumulated deficit to the extent additional paid-in capital is fully depleted.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7, 2021, the Company issued unsecured promissory notes to the Sponsor’s investors, which were amended and restated on October 7, 2021 (the “Promissory Notes”), pursuant to which the Company may borrow up to an aggregate principal amount of $750,000. The Promissory Notes are non-interest bearing and payable on the earlier of (i) December 31, 2021 or (ii) the consummation of the Initial Public Offering. Upon closing the Initial Public Offering in December the Promissory Notes were converted into Class A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RELATED PARTIES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the Promissory Notes. The notes may be repaid upon completion of a Business Combination, without interest. Such Units would be identical to the Private Placement Units.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2022 and December 31, 2021, there was no amount outstanding under the Working Capital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firm owned by the Company’s Chief Financial Officer has an agreement to provide accounting and financial consulting services $0 and to the Company. The Company did not incur any costs for the period from March 17, 2021 (Inception) through September 30, 2021. The Company incurred $5,250 of costs during the three and nine months ended September 30, 2022. There is no amount outstanding as of September 30, 2022 or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the Founder Shares, Private Warrants and warrants that may be issued upon conversion of Working Capital Loans (and any shares of common stock issuable upon the exercise of the Private Warrants or warrants issued upon conversion of the Working Capital Loans and upon conversion of the Founder Shares) will be entitled to registration rights pursuant to a registration rights agreement to be signed prior to or on the effective date of the Initial Public Offering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the securities covered thereby are released from their lock-up restrictions.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granted the underwriters a 45-day option from the date of Initial Public Offering to purchase up to 1,125,000 additional Units to cover over-allotments, if any, at the Initial Public Offering price less the underwriting discounts and commissions. The over-allotment option is deemed to be a freestanding financial instrument indexed on the contingently redeemable shares and is accounted for as a liability pursuant to ASC 480. It is recorded as a $0 and $76,588 liability at September 30, 2022 and December 31, 2021, respectively. 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underwriters are entitled to a cash underwriting discount of $500,000 in the aggregate payable upon the closing of the Initial Public Offering. In addition, the underwriters will be entitled to a business combination fee of $3,375,000 in the aggregate. The business combination fee will become payable to the underwriters from the amounts held in the Trust Account solely in the event that the Company completes a Business Combination, subject to the terms of the underwriting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DEFICIT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September 30, 2022 and December 31, 2021, there were no shares of preferred stock issued or outstanding.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200,000,000 shares of Class A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Holders of Class A common stock are entitled to one vote for each share. As of September 30, 2022 and December 31, 2021, there were 317,600 shares of Class A common stock issued and outstanding (excluding 7,767,159 and 7,500,000 shares accounted for as temporary equity).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As of September 30, 2022 and December 31, 2021, there were 1,941,790 and 2,156,250 shares of Class B common stock issued and outstanding. Holders of Class B common stock are entitled to one vote for each share.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 In connection with our initial business combination, we may enter into a stockholder agreement or other arrangements with the stockholders of the target or other investors to provide for voting or other corporate governance arrangements that differ from those in effect upon completion of this offering.</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shares of Class B common stock will automatically convert into Class A common stock at the time of a Business Combination, or earlier at the option of the holder, on a one-for-one basis, subject to adjustment. In the case that additional shares of Class A common stock, or equity-linked securities, are issued or deemed issued in excess of the amounts issued in the Initial Public Offering and related to the closing of a Business Combination, the ratio at which shares of Class B common stock shall convert into shares of Class A common stock will be adjusted (unless the holders of a majority of the then-outstanding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Initial Public Offering plus all shares of Class A common stock and equity-linked securities issued or deemed issued in connection with a Business Combination (net of the number of shares of Class A common stock redeemed in connection with a Business Combination), excluding any shares or equity-linked securities issued or issuable to any seller of an interest in the target to us in a Business Combination.</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warrants will trade. The Public Warrants will become exercisable on the later of (a) the completion of a Business Combination and</w:t>
      </w:r>
    </w:p>
    <w:p>
      <w:pPr>
        <w:ind w:firstLine="8"/>
        <w:spacing w:after="0" w:line="260"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issuable upon exercise of the warrants is then effective and a current prospectus relating to those shares of Class A common stock is available, subject to the Company satisfying its obligations with respect to registration, or a valid exemption from registration is available.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residence of the exercising holder, or an exemption from registration is available.</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commercially reasonable efforts to file,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commercially reasonable efforts to register or qualify the shares under applicable blue sky laws to the extent an exemption is not available.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left="3800"/>
        <w:spacing w:after="0"/>
        <w:rPr>
          <w:sz w:val="20"/>
          <w:szCs w:val="20"/>
          <w:color w:val="auto"/>
        </w:rPr>
      </w:pPr>
      <w:r>
        <w:rPr>
          <w:rFonts w:ascii="Arial" w:cs="Arial" w:eastAsia="Arial" w:hAnsi="Arial"/>
          <w:sz w:val="18"/>
          <w:szCs w:val="18"/>
          <w:b w:val="1"/>
          <w:bCs w:val="1"/>
          <w:color w:val="auto"/>
        </w:rPr>
        <w:t>LARKSPUR HEALTH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STOCKHOLDERS’ DEFICIT </w:t>
      </w:r>
      <w:r>
        <w:rPr>
          <w:rFonts w:ascii="Arial" w:cs="Arial" w:eastAsia="Arial" w:hAnsi="Arial"/>
          <w:sz w:val="18"/>
          <w:szCs w:val="18"/>
          <w:color w:val="auto"/>
        </w:rPr>
        <w:t>(cont.)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Redemption of Warrants When the Price per Share of Class A Common Stock Equals or Exceeds $18.00 </w:t>
      </w:r>
      <w:r>
        <w:rPr>
          <w:rFonts w:ascii="Arial" w:cs="Arial" w:eastAsia="Arial" w:hAnsi="Arial"/>
          <w:sz w:val="18"/>
          <w:szCs w:val="18"/>
          <w:color w:val="auto"/>
        </w:rPr>
        <w:t>— Once the warrants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the Company may redeem the outstanding Public Warrants:</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common stock equals or exceeds $18.00 per share (as adjusted for stock splits, stock dividends, reorganization, recapitalizations and the like) for any 20 trading days within a 30-trading day period ending on the third trading day prior to the date on which the Company sends the notice of redemption to warrant holders.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common stock issuable upon exercise of the Public Warrants may be adjusted in certain circumstances including in the event of a stock dividend, extraordinary dividend or recapitalization, reorganization, merger or consolidation. However, except as described below, the Public Warrants will not be adjusted for issuances of common stock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Private Warrants, which are classified as equity, are identical to the Public Warrants underlying the Units sold in the Initial Public Offering, except that the Private Warrants and the Class A common stock issuable upon the exercise of the Private Warrants will not be transferable, assignable or saleable until after the completion of a Business Combination, subject to certain limited exceptions. Further, there are no redemption rights or liquidating distributions from the trust account with respect to the private shares or private warrants, which will expire worthless if we do not consummate a business combination within 24 months from the closing of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financial statements were issued. Based upon this review the Company did not identify any subsequent events that would have required adjustment or disclosure in the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References to the “Company,” “us,” “our” or “we” refer to Larkspur Health Acquisition Corp. The following discussion and analysis of our financial condition and results of operations should be read in conjunction with our audited financial statements and related notes included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statements other than statements of historical fact included in this Report including, without limitation, statements under this “Management’s Discussion and Analysis of Financial Condition and Results of Operations” regarding the Company’s financial position, business strategy and the plans and objectives of management for future operations, are forward- looking statements. When used in this Report,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 looking statements as a result of certain factors detailed in our filings with the SEC. All subsequent written or oral forward-looking statements attributable to us or persons acting on the Company’s behalf are qualified in their entirety by this paragraph.</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newly organized blank check company, incorporated as a Delaware corporation and formed for the purpose of effecting a merger, capital stock exchange, asset acquisition, stock purchase, reorganization or similar business combination with one or more businesses. On July 20, 2022, we entered into a Business Combination Agreement, (the “Business Combination Agreement”), with ZyVersa Therapeutics, Inc. (“ZyVersa”), Larkspur Merger Sub Inc. (“Merger Sub”) and Stephen Glover. Upon the consummation of the transactions contemplated by the Business Combination Agreement (the “Transactions”), Merger Sub will merge with and into ZyVersa, with ZyVersa surviving as a wholly-owned subsidiary of the Company (the “Business Combination”). The combined company is expected to be named ZyVersa Therapeutics, Inc.</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Transactions are subject to the satisfaction or waiver of certain customary closing conditions contained in the Business Combination Agreement, including, among other things, the Company and ZyVersa shall have received aggregate commitments of at least $10.0 million in connection with the sale of securities pursuant to the Stock Purchase Agreement entered into on July 20, 2022, as amended, by and between the Company and the purchasers listed on the signatory pages thereto.</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parties to the Business Combination Agreement have made customary representations and warranties, and have agreed to certain customary covenants in the Business Combination Agreement, including, among others, covenants with respect to the conduct of the Company, ZyVersa and Merger Sub, and their subsidiaries, prior to the closing of the Transactions.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Business Combination Agreement may be terminated by the Company or ZyVersa, under certain circumstances, including, among others, (i) by mutual written consent of the Company and ZyVersa, (ii) by either the Company or ZyVersa if the Effective Time shall not have occurred prior to December 15, 2022, (iii) by either the Company or ZyVersa if any Governmental Order has become final and non-appealable and has the effect of making consummation of the Transactions illegal or otherwise preventing or prohibiting consummation of the Transactions, (iv) by either the Company or ZyVersa if any of the required proposals fail to receive the requisite vote for approval at the Company’s Shareholders’ Meeting, (v) by the Company, in the event that ZyVersa’s shareholders don’t consent to the Transactions, (vi) by the Company upon ZyVersa breaching any representation, covenant or agreement; or (vii) by ZyVersa upon the Company breaching any representation, covenant or agreement.</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effectuate our initial business combination using cash from the proceeds of the IPO and the sale of the private units, the proceeds of the sale of our shares in connection with our initial business combination (including pursuant to backstop agreements we may enter into following the consummation of the IPO or otherwise), shares issued to the owners of the target, debt issued to bank or other lenders or the owners of the target, or a combination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ind w:left="980" w:right="2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the IPO,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13"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25"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the IPO. Following the IPO, we will not generate any operating revenues until after completion of our initial business combination. We will generate non-operating income in the form of interest income on cash and cash equivalents after the IPO. There has been no significant change in our financial or trading position and no material adverse change has occurred since the date of our audited financial statements. After the IPO,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the IPO.</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three-month period ended September 30, 2022, we had a net loss of $679,087, which consists primarily of formation and operating costs of $985,605, partially offset by interest income on assets held in Trust of $354,069.</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nine-month period ended September 30, 2022, we had a net loss of $1,792,732, which consists primarily of formation and operating costs of $2,285,405, partially offset by interest income on assets held in Trust of $463,636 and change in fair value of derivative liability of $76,588.</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Capital Resources Going Concern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23, 2021, we consummated our initial public offering of 7,500,000 units. Each unit consists of one share of Class A common stock of the Company, par value $0.0001 per share, and three-fourths of one redeemable warrant of the Company, with each warrant entitling the holder thereof to purchase one share of Class A common stock for $11.50 per whole share. The units were sold at a price of $10.00 per unit, generating gross proceeds to the Company of $75,000,000.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Simultaneously with the closing of the IPO, the Company consummated a private placement with the Sponsors of 317,600 units in the aggregate, each unit consisting of one Class A common stock of the Company and three-fourths of one redeemable warrant, each at a purchase price of $10.00 per unit, generating gross proceeds to the Company of $3,176,000.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total of $75,750,000 of the proceeds from the initial public offering and sale of the placement units was placed in the trust account maintained by maintained by Continental Stock Transfer and Trust Co., acting as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6, 2022, we issued an additional 267,159 units and 2,672 placement units in connection with the exercise of the underwriters’ over-allotment option, generating an additional $2,698,306 of gross proceeds.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deferred underwriting commissions), to complete our initial business combination. We may withdraw interest to pay taxes. We estimate our annual franchise tax obligations, based on the number of shares of our common stock authorized and outstanding after the completion of the IPO, to be $200,000, which is the maximum amount of annual franchise taxes payable by us as a Delaware corporation per annum, which we may pay from funds from the IPO held outside of the trust account or from interest earned on the funds held in our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the completion of our initial business combination, we will have available to us the approximately $1,250,000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sponsors or an affiliate of our sponsors or certain of our officers and directors may, but are not obligated to, loan us funds on a non-interest bearing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Other than as described above, the terms of such loans by our officers and directors, if any, have not been determined and no written agreements exist with respect to such loans. We do not expect to seek loans from parties other than our sponsors or an affiliate of our sponsors as we do not believe third parties will be willing to loan such funds and provide a waiver against any and all rights to seek access to funds in our trust account.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our primary liquidity requirements during that period to include approximately $425,000 for legal, accounting, due diligence, travel and other expenses associated with structuring, negotiating and documenting successful business combinations, $600,000 for D&amp;O insurance, $150,000 for legal and accounting fees related to regulatory reporting requirements, and approximately $75,000 for working capital that will be used for miscellaneous expenses and reserves.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firstLine="648"/>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believe we will need to raise additional funds following the IPO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are targeting businesses larger than we could acquire with the net proceeds of the IPO and the sale of the private units,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assurance that the Company’s plans to consummate a business combination will be successful within the Combination Period as well as the liquidity to fund operations. As a result, there is substantial doubt about the entity’s ability to continue as a going concern within one year after the date that the financial statements are issued or are available to be issued.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months ended September 30, 2022, the net decrease in cash was $714,825. For the same period, cash used in operating activities was $714,825, primarily as a result of a net loss of $1,792,732 and interest income earned on Trust assets of $463,636 partially offset by a change in accrued liabilities of $1,424,893. Cash used in investing activities was $2,698,306, used for cash deposited into the Trust, and cash provided by financing activities was $2,698,306 and primarily relates to the underwriters’ partial exercise of the over allotment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sponsors,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sponsors,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sponsors or an affiliate of our sponsors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The terms of such loans by our officers and directors, if any, have not been determined and no written agreements exist with respect to such loans. We do not expect to seek loans from parties other than our sponsors or an affiliate of our sponsors as we do not believe third parties will be willing to loan such funds and provide a waiver against any and all rights to seek access to funds in our trust account.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648"/>
        <w:spacing w:after="0" w:line="267" w:lineRule="auto"/>
        <w:rPr>
          <w:sz w:val="20"/>
          <w:szCs w:val="20"/>
          <w:color w:val="auto"/>
        </w:rPr>
      </w:pPr>
      <w:r>
        <w:rPr>
          <w:rFonts w:ascii="Arial" w:cs="Arial" w:eastAsia="Arial" w:hAnsi="Arial"/>
          <w:sz w:val="17"/>
          <w:szCs w:val="17"/>
          <w:color w:val="auto"/>
        </w:rPr>
        <w:t>Our sponsors have agreed to waive their redemption rights with respect to their founder shares (i) in connection with the consummation of a business combination, (ii) in connection with a stockholder vote to amend our amended and restated certificate of incorporation to modify the substance or timing of our obligation to allow redemption in connection with our initial business combination or certain amendments to our charter prior thereto or to redeem 100% of our public shares if we do not complete our initial business combination within 12 months from the completion of the IPO (or up to 18 months from the closing of the IPO, at the election of the Company, in two separate three month extensions subject to satisfaction of certain conditions, including the deposit $776,716 ($0.10 per unit) for each three month extension, into the trust account, or as extended by the Company’s stockholders in accordance with our amended and restated certificate of incorporation) and (iii) if we fail to consummate a business combination within 12 months from the completion of the IPO (or up to 18 months from the closing of the IPO at the election of the Company in two separate three month extensions subject to satisfaction of certain conditions, including the deposit $776,716 ($0.10 per unit) for each three month extension, into the trust account, or as extended by the Company’s stockholders in accordance with our amended and restated certificate of incorporation) or if we liquidate prior to the expiration of the 12-month period (or up to 18-month period). However, our initial stockholders will be entitled to redemption rights with respect to any public shares held by them if we fail to consummate a business combination or liquidate within the 12-month period (or up to 18-month period). In addition, the representative has agreed (i) to waive its redemption rights (or right to participate in any tender offer) with respect to such shares in connection with the completion of our initial business combination and (ii) to waive its rights to liquidating distributions from the trust account with respect to such shares if we fail to complete our initial business combination within 12 months from the closing of the IPO (or up to 18 months from the closing of the IPO at the election of the Company in two separate three month extensions subject to satisfaction of certain conditions, including the deposit of $776,716 ($0.10 per unit) for each three month extension, into the trust account, or as extended by the Company’s stockholders in accordance with our amended and restated certificate of incorporation).</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registration rights agreement we entered into with our initial stockholders on December 20, 2021, we may be required to register certain securities for sale under the Securities Act. Our initial stockholders (including the representative), and holders of units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not identified any critical accounting policies or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The Company has two classes of stock, which are referred to as Class A Common Stock and Class B Common Stock. Income and losses are shared pro rata between the two classes of stock. Net income (loss) per share of common stock is computed by dividing net income (loss) by the weighted average number of shares of common stock outstanding for the period. Accretion associated with the redeemable shares of Class A common stock is excluded from income (loss) per common share as the redemption value approximates fair value.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calculation of diluted loss per share of common stock does not consider the effect of the warrants issued in connection with the (i) Initial Public Offering, and (ii) the private placement since the exercise of the warrants is contingent upon the occurrence of future events. As of September 30, 2022 and September 30, 2021, the Company did not have any dilutive securities or other contracts that could, potentially, be exercised or converted into common stock and then share in the earnings of the Company. As a result, diluted net loss per common share is the same as basic net loss per common share for the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 The over-allotment option is deemed to be a freestanding financial instrument indexed on the contingently redeemable shares and is accounted for as a liability pursuant to ASC 480. The warrants issued in connection with the Initial Public Offering and the Private Placement are recorded in equity as they qualify for equity treatment under ASC 815-40.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enumerated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Common stock subject to mandatory redemption is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by the Company to be outside of the Company’s control and subject to the occurrence of uncertain future events. Accordingly, at September 30, 2022 and December 31, 2021, the shares of Class A common stock subject to possible redemption in the amount of $78,556,033 and $75,750,000, respectively, are presented as temporary equity, outside of the stockholders’ equity section of the Company’s balance sheet. The increase of $2,806,033 during the nine months ended September 30, 2022 in the Class A common stock subject to possible redemption is a remeasurement adjustment to the redemption value of $107,727 and proceeds from the partial exercise of the over-allotment option of $2,698,306.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serves as our Principal Executive Officer and Principal Financial and Accounting Officer), to allow timely decisions regarding required disclosure.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2022. Based upon their evaluation, our Chief Executive Officer and Chief Financial Officer concluded that our disclosure controls and procedures (as defined in Rules 13a-15(e) and 15d-15(e) under the Exchange Act)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material current litigation, arbitration or governmental proceeding currently pending against us or any members of our management team in their capacity as such.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date of this Quarterly Report on Form 10-Q, there have been no material changes to the risk factors disclosed in the Registration Statement.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 For the complete list of risks relating to our operations, see the section titled “Risk Factors” contained in the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period covered by this report, we have not issued any unregistered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20, 2021, the Company’s registration statement on Form S-1 (File No. 333-256056) was declared effective by the SEC. On December 23, 2021, Larkspur closed its IPO of 7,767,159 units, including 267,159 units issued pursuant to the partial exercise by the underwriters of their over-allotment option. Each unit consists of one share of Class A common stock and three-fourths of one redeemable warrant. Each whole warrant entitles the holder thereof to purchase one share of common stock at a price of $11.50 per share (subject to adjustment). The units began trading on December 21, 2021 and were sold at an offering price of $10.00 per unit, resulting in gross proceeds of $77,671,590. Alliance Global Partners was the sole book-running manager, and Brookline Capital Markets, a division of Arcadia Securities, LLC, acted as co-manager for the offering.</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were net proceeds of $75,750,000, net of approximately $1.9 million in expenses, including $500,000 in underwriting fees. The net proceeds of Larkspur’s IPO, together with a portion of the funds raised from the Private Placement, were placed in the Trust Account immediately following Larkspur’s IPO. The proceeds are intended to be applied generally toward consummating a Business Combination. After consummation of a Business Combination, the funds in the Trust Account are expected to be used to pay stockholders who exercise redemption rights, to pay fees and expenses incurred in connection with the Business Combination and for general corporate purposes.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December 22, 2021 pursuant to Rule 424(b) under the Securities Act.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40" w:type="dxa"/>
            <w:vAlign w:val="bottom"/>
            <w:gridSpan w:val="12"/>
          </w:tcPr>
          <w:p>
            <w:pPr>
              <w:ind w:left="660"/>
              <w:spacing w:after="0"/>
              <w:rPr>
                <w:sz w:val="20"/>
                <w:szCs w:val="20"/>
                <w:color w:val="auto"/>
              </w:rPr>
            </w:pPr>
            <w:r>
              <w:rPr>
                <w:rFonts w:ascii="Arial" w:cs="Arial" w:eastAsia="Arial" w:hAnsi="Arial"/>
                <w:sz w:val="18"/>
                <w:szCs w:val="18"/>
                <w:color w:val="auto"/>
              </w:rPr>
              <w:t>(a) Exhibit Index</w:t>
            </w:r>
          </w:p>
        </w:tc>
      </w:tr>
      <w:tr>
        <w:trPr>
          <w:trHeight w:val="439"/>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8"/>
          </w:tcPr>
          <w:p>
            <w:pPr>
              <w:ind w:left="22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37">
              <w:r>
                <w:rPr>
                  <w:rFonts w:ascii="Arial" w:cs="Arial" w:eastAsia="Arial" w:hAnsi="Arial"/>
                  <w:sz w:val="18"/>
                  <w:szCs w:val="18"/>
                  <w:color w:val="0000EE"/>
                  <w:w w:val="94"/>
                </w:rPr>
                <w:t>Business Combination Agreement, dated as of July 2022, by and among Larkspur Health Acquisition Corp., Larkspur Merger Sub Inc.,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Stephen Glover and ZyVersa Therapeutics, Inc. (incorporated by reference to Exhibit 2.1 to Larkspur’s Current Report on Form 8-K filed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with the SEC on July 22, 2022).</w:t>
              </w:r>
            </w:hyperlink>
          </w:p>
        </w:tc>
        <w:tc>
          <w:tcPr>
            <w:tcW w:w="778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Securities Purchase Agreement, dated as of July 20, 2022, by and among Larkspur Health Acquisition Corp. and each purchaser identified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on the signature pages thereto (incorporated by reference to Exhibit 10.1 to Larkspur’s Current Report on Form 8-K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July 22,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Form of Shareholder Support Agreement, by and among Larkspur Health Acquisition Corp., ZyVersa Therapeutics, Inc. and certain of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stockholders of ZyVersa Therapeutics, Inc. whose names appear on the signature pages thereto (incorporated by reference to Exhibit 10.3 to</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Larkspur’s Current Report on Form 8-K filed with the SEC on July 22,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Form of Lock-Up Agreement, by and among Larkspur Health Acquisition Corp. and the parties listed on Schedule A thereto (incorporated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by reference to Exhibit 10.4 to Larkspur’s Current Report on Form 8-K filed with the SEC on July 22, 2022).</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Certification of the Principal Executive Officer required by Rule 13a-14(a) or Rule 15d-14(a).</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Borders>
              <w:top w:val="single" w:sz="8" w:color="CCEEFF"/>
            </w:tcBorders>
          </w:tcPr>
          <w:p>
            <w:pPr>
              <w:spacing w:after="0"/>
              <w:rPr>
                <w:sz w:val="15"/>
                <w:szCs w:val="15"/>
                <w:color w:val="auto"/>
              </w:rPr>
            </w:pPr>
          </w:p>
        </w:tc>
        <w:tc>
          <w:tcPr>
            <w:tcW w:w="676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2"/>
              </w:rPr>
              <w:t>Certification of the Principal Financial Officer required by Rule 13a-14(a) or Rule 15d-14(a).</w:t>
            </w:r>
          </w:p>
        </w:tc>
        <w:tc>
          <w:tcPr>
            <w:tcW w:w="3340" w:type="dxa"/>
            <w:vAlign w:val="bottom"/>
            <w:tcBorders>
              <w:top w:val="single" w:sz="8" w:color="CCEEFF"/>
            </w:tcBorders>
            <w:gridSpan w:val="5"/>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Certification of the Principal Executive Officer required by Rule 13a-14(b) or Rule 15d-14(b) and 18 U.S.C. 1350</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Borders>
              <w:top w:val="single" w:sz="8" w:color="CCEEFF"/>
            </w:tcBorders>
          </w:tcPr>
          <w:p>
            <w:pPr>
              <w:spacing w:after="0"/>
              <w:rPr>
                <w:sz w:val="15"/>
                <w:szCs w:val="15"/>
                <w:color w:val="auto"/>
              </w:rPr>
            </w:pPr>
          </w:p>
        </w:tc>
        <w:tc>
          <w:tcPr>
            <w:tcW w:w="820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w w:val="92"/>
              </w:rPr>
              <w:t>Certification of the Principal Financial Officer required by Rule 13a-14(b) or Rule 15d-14(b) and 18 U.S.C. 1350</w:t>
            </w:r>
          </w:p>
        </w:tc>
        <w:tc>
          <w:tcPr>
            <w:tcW w:w="190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Section13 or 15(d)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color w:val="auto"/>
              </w:rPr>
              <w:t>November 14, 2022</w:t>
            </w:r>
          </w:p>
        </w:tc>
        <w:tc>
          <w:tcPr>
            <w:tcW w:w="7760" w:type="dxa"/>
            <w:vAlign w:val="bottom"/>
            <w:gridSpan w:val="2"/>
          </w:tcPr>
          <w:p>
            <w:pPr>
              <w:ind w:left="3280"/>
              <w:spacing w:after="0"/>
              <w:rPr>
                <w:sz w:val="20"/>
                <w:szCs w:val="20"/>
                <w:color w:val="auto"/>
              </w:rPr>
            </w:pPr>
            <w:r>
              <w:rPr>
                <w:rFonts w:ascii="Arial" w:cs="Arial" w:eastAsia="Arial" w:hAnsi="Arial"/>
                <w:sz w:val="18"/>
                <w:szCs w:val="18"/>
                <w:b w:val="1"/>
                <w:bCs w:val="1"/>
                <w:color w:val="auto"/>
              </w:rPr>
              <w:t>Larkspur Health Acquisition Corp.</w:t>
            </w:r>
          </w:p>
        </w:tc>
      </w:tr>
      <w:tr>
        <w:trPr>
          <w:trHeight w:val="439"/>
        </w:trPr>
        <w:tc>
          <w:tcPr>
            <w:tcW w:w="3480" w:type="dxa"/>
            <w:vAlign w:val="bottom"/>
          </w:tcPr>
          <w:p>
            <w:pPr>
              <w:spacing w:after="0"/>
              <w:rPr>
                <w:sz w:val="24"/>
                <w:szCs w:val="24"/>
                <w:color w:val="auto"/>
              </w:rPr>
            </w:pPr>
          </w:p>
        </w:tc>
        <w:tc>
          <w:tcPr>
            <w:tcW w:w="3840" w:type="dxa"/>
            <w:vAlign w:val="bottom"/>
          </w:tcPr>
          <w:p>
            <w:pPr>
              <w:ind w:left="32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J. O’Connor</w:t>
            </w:r>
          </w:p>
        </w:tc>
      </w:tr>
      <w:tr>
        <w:trPr>
          <w:trHeight w:val="202"/>
        </w:trPr>
        <w:tc>
          <w:tcPr>
            <w:tcW w:w="3480" w:type="dxa"/>
            <w:vAlign w:val="bottom"/>
          </w:tcPr>
          <w:p>
            <w:pPr>
              <w:spacing w:after="0"/>
              <w:rPr>
                <w:sz w:val="17"/>
                <w:szCs w:val="17"/>
                <w:color w:val="auto"/>
              </w:rPr>
            </w:pPr>
          </w:p>
        </w:tc>
        <w:tc>
          <w:tcPr>
            <w:tcW w:w="3840" w:type="dxa"/>
            <w:vAlign w:val="bottom"/>
          </w:tcPr>
          <w:p>
            <w:pPr>
              <w:ind w:left="32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Daniel J. O’Connor</w:t>
            </w:r>
          </w:p>
        </w:tc>
      </w:tr>
      <w:tr>
        <w:trPr>
          <w:trHeight w:val="216"/>
        </w:trPr>
        <w:tc>
          <w:tcPr>
            <w:tcW w:w="3480" w:type="dxa"/>
            <w:vAlign w:val="bottom"/>
          </w:tcPr>
          <w:p>
            <w:pPr>
              <w:spacing w:after="0"/>
              <w:rPr>
                <w:sz w:val="18"/>
                <w:szCs w:val="18"/>
                <w:color w:val="auto"/>
              </w:rPr>
            </w:pPr>
          </w:p>
        </w:tc>
        <w:tc>
          <w:tcPr>
            <w:tcW w:w="3840" w:type="dxa"/>
            <w:vAlign w:val="bottom"/>
          </w:tcPr>
          <w:p>
            <w:pPr>
              <w:ind w:left="32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55"/>
        </w:trPr>
        <w:tc>
          <w:tcPr>
            <w:tcW w:w="3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25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Daniel J. O’Connor,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Larkspur Health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J.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J. O’Connor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14, 2022</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Briones,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Larkspur Health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S. Briones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S. Briones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14, 2022</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Larkspur Health Acquisition Corp. (the “Company”) for the quarter ended September 30, 2022, as filed with the Securities and Exchange Commission (the “Report”), I, Daniel J. O’Connor, Chief Executive Officer of the Company, certify, pursuant to 18 U.S.C.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J.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J. O’Connor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14, 2022</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Larkspur Health Acquisition Corp. (the “Company”) for the quarter ended September 30, 2022, as filed with the Securities and Exchange Commission (the “Report”), I, David S. Briones, Chief Financial Officer of the Company, certify, pursuant to 18 U.S.C.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S. Briones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S. Briones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14,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37" Type="http://schemas.openxmlformats.org/officeDocument/2006/relationships/hyperlink" Target="http://www.sec.gov/Archives/edgar/data/1859007/000121390022040769/ea163113ex2-1_larkspur.htm" TargetMode="External"/><Relationship Id="rId38" Type="http://schemas.openxmlformats.org/officeDocument/2006/relationships/hyperlink" Target="http://www.sec.gov/Archives/edgar/data/1859007/000121390022040769/ea163113ex10-1_larkspur.htm" TargetMode="External"/><Relationship Id="rId39" Type="http://schemas.openxmlformats.org/officeDocument/2006/relationships/hyperlink" Target="http://www.sec.gov/Archives/edgar/data/1859007/000121390022040769/ea163113ex10-3_larkspur.htm" TargetMode="External"/><Relationship Id="rId40" Type="http://schemas.openxmlformats.org/officeDocument/2006/relationships/hyperlink" Target="http://www.sec.gov/Archives/edgar/data/1859007/000121390022040769/ea163113ex10-4_larkspu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2022-11-14T19:25:28Z</dcterms:created>
  <dcterms:modified xsi:type="dcterms:W3CDTF">2022-11-14T19:25:28Z</dcterms:modified>
</cp:coreProperties>
</file>